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1C0C" w14:textId="77777777" w:rsidR="00E03992" w:rsidRPr="000F069E" w:rsidRDefault="00E03992" w:rsidP="00E03992">
      <w:pPr>
        <w:spacing w:after="0" w:line="240" w:lineRule="auto"/>
        <w:jc w:val="center"/>
        <w:rPr>
          <w:rFonts w:cs="Times New Roman"/>
        </w:rPr>
      </w:pPr>
    </w:p>
    <w:p w14:paraId="2423B0B5" w14:textId="0C765CB7" w:rsidR="00E03992" w:rsidRPr="00D1291B" w:rsidRDefault="004607E3" w:rsidP="00E03992">
      <w:pPr>
        <w:spacing w:after="0" w:line="240" w:lineRule="auto"/>
        <w:jc w:val="center"/>
        <w:rPr>
          <w:rFonts w:cs="Times New Roman"/>
          <w:b/>
          <w:bCs/>
        </w:rPr>
      </w:pPr>
      <w:r>
        <w:rPr>
          <w:rFonts w:cs="Times New Roman"/>
          <w:b/>
          <w:bCs/>
        </w:rPr>
        <w:t>VERSLO STUDIJŲ KRYPTI</w:t>
      </w:r>
      <w:r w:rsidR="00D1291B" w:rsidRPr="00D1291B">
        <w:rPr>
          <w:rFonts w:cs="Times New Roman"/>
          <w:b/>
          <w:bCs/>
        </w:rPr>
        <w:t xml:space="preserve">ES </w:t>
      </w:r>
      <w:r w:rsidR="00E03992" w:rsidRPr="00D1291B">
        <w:rPr>
          <w:rFonts w:cs="Times New Roman"/>
          <w:b/>
          <w:bCs/>
        </w:rPr>
        <w:t>IŠORINIO VERTINIMO REKOMENDACIJŲ</w:t>
      </w:r>
      <w:r w:rsidR="00D1291B" w:rsidRPr="00D1291B">
        <w:rPr>
          <w:rFonts w:cs="Times New Roman"/>
          <w:b/>
          <w:bCs/>
        </w:rPr>
        <w:t xml:space="preserve"> VYKDYMO PLANAS</w:t>
      </w:r>
      <w:r w:rsidR="00E03992" w:rsidRPr="00D1291B">
        <w:rPr>
          <w:rFonts w:cs="Times New Roman"/>
          <w:b/>
          <w:bCs/>
        </w:rPr>
        <w:t xml:space="preserve"> </w:t>
      </w:r>
    </w:p>
    <w:p w14:paraId="083EDA03" w14:textId="6B71CFF6" w:rsidR="000F069E" w:rsidRPr="000F069E" w:rsidRDefault="00BA4479" w:rsidP="00E03992">
      <w:pPr>
        <w:spacing w:after="0" w:line="240" w:lineRule="auto"/>
        <w:jc w:val="center"/>
        <w:rPr>
          <w:rFonts w:cs="Times New Roman"/>
          <w:b/>
        </w:rPr>
      </w:pPr>
      <w:r>
        <w:rPr>
          <w:rFonts w:cs="Times New Roman"/>
          <w:b/>
        </w:rPr>
        <w:t>202</w:t>
      </w:r>
      <w:r w:rsidR="00D97C96">
        <w:rPr>
          <w:rFonts w:cs="Times New Roman"/>
          <w:b/>
        </w:rPr>
        <w:t>3</w:t>
      </w:r>
      <w:r>
        <w:rPr>
          <w:rFonts w:cs="Times New Roman"/>
          <w:b/>
        </w:rPr>
        <w:t>-</w:t>
      </w:r>
      <w:r w:rsidR="004607E3">
        <w:rPr>
          <w:rFonts w:cs="Times New Roman"/>
          <w:b/>
        </w:rPr>
        <w:t>0</w:t>
      </w:r>
      <w:r w:rsidR="004607E3">
        <w:rPr>
          <w:rFonts w:cs="Times New Roman"/>
          <w:b/>
          <w:lang w:val="en-GB"/>
        </w:rPr>
        <w:t>5</w:t>
      </w:r>
      <w:r>
        <w:rPr>
          <w:rFonts w:cs="Times New Roman"/>
          <w:b/>
        </w:rPr>
        <w:t>-</w:t>
      </w:r>
      <w:r w:rsidR="004607E3">
        <w:rPr>
          <w:rFonts w:cs="Times New Roman"/>
          <w:b/>
        </w:rPr>
        <w:t>16</w:t>
      </w:r>
    </w:p>
    <w:p w14:paraId="6E3E58CA" w14:textId="69ABBCE2" w:rsidR="000F069E" w:rsidRPr="000F069E" w:rsidRDefault="000F069E" w:rsidP="00E03992">
      <w:pPr>
        <w:spacing w:after="0" w:line="240" w:lineRule="auto"/>
        <w:jc w:val="center"/>
        <w:rPr>
          <w:rFonts w:cs="Times New Roman"/>
          <w:b/>
        </w:rPr>
      </w:pPr>
      <w:r w:rsidRPr="000F069E">
        <w:rPr>
          <w:rFonts w:cs="Times New Roman"/>
          <w:b/>
        </w:rPr>
        <w:t xml:space="preserve"> </w:t>
      </w:r>
    </w:p>
    <w:p w14:paraId="68E123F5" w14:textId="77777777" w:rsidR="00E03992" w:rsidRPr="000F069E" w:rsidRDefault="00E03992" w:rsidP="00E03992">
      <w:pPr>
        <w:spacing w:after="0" w:line="240" w:lineRule="auto"/>
        <w:jc w:val="center"/>
        <w:rPr>
          <w:rFonts w:cs="Times New Roman"/>
        </w:rPr>
      </w:pPr>
    </w:p>
    <w:tbl>
      <w:tblPr>
        <w:tblStyle w:val="TableGrid"/>
        <w:tblW w:w="5000" w:type="pct"/>
        <w:tblLook w:val="04A0" w:firstRow="1" w:lastRow="0" w:firstColumn="1" w:lastColumn="0" w:noHBand="0" w:noVBand="1"/>
      </w:tblPr>
      <w:tblGrid>
        <w:gridCol w:w="1129"/>
        <w:gridCol w:w="3503"/>
        <w:gridCol w:w="3442"/>
        <w:gridCol w:w="1986"/>
        <w:gridCol w:w="2266"/>
        <w:gridCol w:w="2234"/>
      </w:tblGrid>
      <w:tr w:rsidR="000926E4" w:rsidRPr="000F069E" w14:paraId="4D7779FA" w14:textId="333A3913" w:rsidTr="00CD4EB0">
        <w:tc>
          <w:tcPr>
            <w:tcW w:w="388" w:type="pct"/>
          </w:tcPr>
          <w:p w14:paraId="202D6178" w14:textId="76EA75A3" w:rsidR="000926E4" w:rsidRPr="000F069E" w:rsidRDefault="000926E4" w:rsidP="00E03992">
            <w:pPr>
              <w:jc w:val="center"/>
              <w:rPr>
                <w:rFonts w:cs="Times New Roman"/>
              </w:rPr>
            </w:pPr>
            <w:r w:rsidRPr="000F069E">
              <w:rPr>
                <w:rFonts w:cs="Times New Roman"/>
              </w:rPr>
              <w:t>Vertina</w:t>
            </w:r>
            <w:r w:rsidR="00CD4EB0">
              <w:rPr>
                <w:rFonts w:cs="Times New Roman"/>
              </w:rPr>
              <w:t>-</w:t>
            </w:r>
            <w:r w:rsidRPr="000F069E">
              <w:rPr>
                <w:rFonts w:cs="Times New Roman"/>
              </w:rPr>
              <w:t>moji sritis</w:t>
            </w:r>
          </w:p>
        </w:tc>
        <w:tc>
          <w:tcPr>
            <w:tcW w:w="1203" w:type="pct"/>
          </w:tcPr>
          <w:p w14:paraId="08010EEA" w14:textId="77777777" w:rsidR="000926E4" w:rsidRPr="000F069E" w:rsidRDefault="000926E4" w:rsidP="00E03992">
            <w:pPr>
              <w:jc w:val="center"/>
              <w:rPr>
                <w:rFonts w:cs="Times New Roman"/>
              </w:rPr>
            </w:pPr>
            <w:r w:rsidRPr="000F069E">
              <w:rPr>
                <w:rFonts w:cs="Times New Roman"/>
              </w:rPr>
              <w:t>Ekspertų rekomendacijos, pateiktos paskutinio vertinimo metu</w:t>
            </w:r>
          </w:p>
        </w:tc>
        <w:tc>
          <w:tcPr>
            <w:tcW w:w="1182" w:type="pct"/>
          </w:tcPr>
          <w:p w14:paraId="2BA5E413" w14:textId="4A45C17D" w:rsidR="000926E4" w:rsidRPr="000F069E" w:rsidRDefault="000926E4">
            <w:pPr>
              <w:jc w:val="center"/>
              <w:rPr>
                <w:rFonts w:cs="Times New Roman"/>
              </w:rPr>
            </w:pPr>
            <w:r>
              <w:rPr>
                <w:rFonts w:cs="Times New Roman"/>
              </w:rPr>
              <w:t>P</w:t>
            </w:r>
            <w:r w:rsidRPr="000F069E">
              <w:rPr>
                <w:rFonts w:cs="Times New Roman"/>
              </w:rPr>
              <w:t xml:space="preserve">lanuojami veiksmai </w:t>
            </w:r>
          </w:p>
        </w:tc>
        <w:tc>
          <w:tcPr>
            <w:tcW w:w="682" w:type="pct"/>
          </w:tcPr>
          <w:p w14:paraId="162B882B" w14:textId="0691BA1A" w:rsidR="000926E4" w:rsidRPr="000F069E" w:rsidRDefault="000926E4">
            <w:pPr>
              <w:jc w:val="center"/>
              <w:rPr>
                <w:rFonts w:cs="Times New Roman"/>
              </w:rPr>
            </w:pPr>
            <w:r>
              <w:rPr>
                <w:rFonts w:cs="Times New Roman"/>
              </w:rPr>
              <w:t>Įgyvendinimo</w:t>
            </w:r>
            <w:r w:rsidRPr="000F069E">
              <w:rPr>
                <w:rFonts w:cs="Times New Roman"/>
              </w:rPr>
              <w:t xml:space="preserve"> terminai</w:t>
            </w:r>
          </w:p>
        </w:tc>
        <w:tc>
          <w:tcPr>
            <w:tcW w:w="778" w:type="pct"/>
          </w:tcPr>
          <w:p w14:paraId="1F13963E" w14:textId="1F9D3A35" w:rsidR="000926E4" w:rsidRPr="000F069E" w:rsidRDefault="000926E4" w:rsidP="00E03992">
            <w:pPr>
              <w:jc w:val="center"/>
              <w:rPr>
                <w:rFonts w:cs="Times New Roman"/>
              </w:rPr>
            </w:pPr>
            <w:r>
              <w:rPr>
                <w:rFonts w:cs="Times New Roman"/>
              </w:rPr>
              <w:t>Atsakingi asmenys/padaliniai</w:t>
            </w:r>
          </w:p>
        </w:tc>
        <w:tc>
          <w:tcPr>
            <w:tcW w:w="767" w:type="pct"/>
          </w:tcPr>
          <w:p w14:paraId="5BAC50BD" w14:textId="7BC81100" w:rsidR="000926E4" w:rsidRPr="000F069E" w:rsidRDefault="000926E4" w:rsidP="00E03992">
            <w:pPr>
              <w:jc w:val="center"/>
              <w:rPr>
                <w:rFonts w:cs="Times New Roman"/>
              </w:rPr>
            </w:pPr>
            <w:r w:rsidRPr="000F069E">
              <w:rPr>
                <w:rFonts w:cs="Times New Roman"/>
              </w:rPr>
              <w:t>Pastabos</w:t>
            </w:r>
          </w:p>
        </w:tc>
      </w:tr>
      <w:tr w:rsidR="004607E3" w:rsidRPr="000F069E" w14:paraId="48392B6B" w14:textId="77777777" w:rsidTr="004607E3">
        <w:tc>
          <w:tcPr>
            <w:tcW w:w="5000" w:type="pct"/>
            <w:gridSpan w:val="6"/>
          </w:tcPr>
          <w:p w14:paraId="7D01C6EB" w14:textId="3E2AC45B" w:rsidR="004607E3" w:rsidRPr="000F069E" w:rsidRDefault="004607E3" w:rsidP="004607E3">
            <w:pPr>
              <w:jc w:val="center"/>
              <w:rPr>
                <w:rFonts w:cs="Times New Roman"/>
              </w:rPr>
            </w:pPr>
            <w:r w:rsidRPr="00FB386B">
              <w:rPr>
                <w:rFonts w:cs="Times New Roman"/>
                <w:b/>
                <w:bCs/>
              </w:rPr>
              <w:t>Studijų tikslai, rezultatai ir turinys</w:t>
            </w:r>
          </w:p>
        </w:tc>
      </w:tr>
      <w:tr w:rsidR="004607E3" w:rsidRPr="000F069E" w14:paraId="48A6807B" w14:textId="7CA23D65" w:rsidTr="00CD4EB0">
        <w:tc>
          <w:tcPr>
            <w:tcW w:w="388" w:type="pct"/>
          </w:tcPr>
          <w:p w14:paraId="7B8F4129" w14:textId="77777777" w:rsidR="004607E3" w:rsidRPr="000F069E" w:rsidRDefault="004607E3" w:rsidP="004607E3">
            <w:pPr>
              <w:jc w:val="center"/>
              <w:rPr>
                <w:rFonts w:cs="Times New Roman"/>
              </w:rPr>
            </w:pPr>
            <w:r w:rsidRPr="000F069E">
              <w:rPr>
                <w:rFonts w:cs="Times New Roman"/>
              </w:rPr>
              <w:t xml:space="preserve">1. </w:t>
            </w:r>
          </w:p>
        </w:tc>
        <w:tc>
          <w:tcPr>
            <w:tcW w:w="1203" w:type="pct"/>
          </w:tcPr>
          <w:p w14:paraId="41C3BDD3" w14:textId="0144904F" w:rsidR="004607E3" w:rsidRPr="000F069E" w:rsidRDefault="004607E3" w:rsidP="004607E3">
            <w:pPr>
              <w:rPr>
                <w:rFonts w:cs="Times New Roman"/>
              </w:rPr>
            </w:pPr>
            <w:r w:rsidRPr="00C1500D">
              <w:rPr>
                <w:rFonts w:cs="Times New Roman"/>
              </w:rPr>
              <w:t>Reikėtų nuolatos stebėti ir kreipti dėmesį į aukštą studentų, iškritusių iš pirmosios pakopos studijų programų, skaičių.</w:t>
            </w:r>
          </w:p>
        </w:tc>
        <w:tc>
          <w:tcPr>
            <w:tcW w:w="1182" w:type="pct"/>
          </w:tcPr>
          <w:p w14:paraId="6F24C17C" w14:textId="7139ECF4" w:rsidR="00D8138F" w:rsidRDefault="00D8138F" w:rsidP="005E209F">
            <w:pPr>
              <w:rPr>
                <w:rFonts w:cs="Times New Roman"/>
              </w:rPr>
            </w:pPr>
            <w:r>
              <w:rPr>
                <w:rFonts w:cs="Times New Roman"/>
              </w:rPr>
              <w:t>Rinkti statistiką apie iškritusių studentų iškritimo priežastis</w:t>
            </w:r>
            <w:r w:rsidR="005E209F">
              <w:rPr>
                <w:rFonts w:cs="Times New Roman"/>
              </w:rPr>
              <w:t>;</w:t>
            </w:r>
          </w:p>
          <w:p w14:paraId="78B097A9" w14:textId="56444CD8" w:rsidR="004607E3" w:rsidRDefault="00D8138F" w:rsidP="005E209F">
            <w:pPr>
              <w:rPr>
                <w:rFonts w:cs="Times New Roman"/>
              </w:rPr>
            </w:pPr>
            <w:r>
              <w:rPr>
                <w:rFonts w:cs="Times New Roman"/>
              </w:rPr>
              <w:t>Du kartus metuose atlikti iškritimo priežasčių analizę</w:t>
            </w:r>
            <w:r w:rsidR="005E209F">
              <w:rPr>
                <w:rFonts w:cs="Times New Roman"/>
              </w:rPr>
              <w:t>;</w:t>
            </w:r>
          </w:p>
          <w:p w14:paraId="0D563247" w14:textId="5721C066" w:rsidR="00D8138F" w:rsidRPr="000F069E" w:rsidRDefault="00A65DD4" w:rsidP="005E209F">
            <w:pPr>
              <w:rPr>
                <w:rFonts w:cs="Times New Roman"/>
              </w:rPr>
            </w:pPr>
            <w:r>
              <w:rPr>
                <w:rFonts w:cs="Times New Roman"/>
              </w:rPr>
              <w:t>Fakultet</w:t>
            </w:r>
            <w:r w:rsidR="00085C71">
              <w:rPr>
                <w:rFonts w:cs="Times New Roman"/>
              </w:rPr>
              <w:t>ų</w:t>
            </w:r>
            <w:r w:rsidR="00DF58F9">
              <w:rPr>
                <w:rFonts w:cs="Times New Roman"/>
              </w:rPr>
              <w:t xml:space="preserve"> SK apsvarstyti galimas priemones nubyrėjimui mažinti ir jas įgyvendinti</w:t>
            </w:r>
          </w:p>
        </w:tc>
        <w:tc>
          <w:tcPr>
            <w:tcW w:w="682" w:type="pct"/>
          </w:tcPr>
          <w:p w14:paraId="3ED3937A" w14:textId="098599AF" w:rsidR="004607E3" w:rsidRPr="00D8138F" w:rsidRDefault="00D8138F" w:rsidP="005E209F">
            <w:pPr>
              <w:rPr>
                <w:rFonts w:cs="Times New Roman"/>
              </w:rPr>
            </w:pPr>
            <w:r>
              <w:rPr>
                <w:rFonts w:cs="Times New Roman"/>
              </w:rPr>
              <w:t xml:space="preserve">Kiekvienais metais iki sausio </w:t>
            </w:r>
            <w:r w:rsidRPr="00D8138F">
              <w:rPr>
                <w:rFonts w:cs="Times New Roman"/>
              </w:rPr>
              <w:t xml:space="preserve">31 d. </w:t>
            </w:r>
            <w:r>
              <w:rPr>
                <w:rFonts w:cs="Times New Roman"/>
              </w:rPr>
              <w:t>ir birželio 31 d.</w:t>
            </w:r>
          </w:p>
        </w:tc>
        <w:tc>
          <w:tcPr>
            <w:tcW w:w="778" w:type="pct"/>
          </w:tcPr>
          <w:p w14:paraId="45EDB559" w14:textId="77777777" w:rsidR="004607E3" w:rsidRDefault="00DF58F9" w:rsidP="005E209F">
            <w:pPr>
              <w:rPr>
                <w:rFonts w:cs="Times New Roman"/>
              </w:rPr>
            </w:pPr>
            <w:r>
              <w:rPr>
                <w:rFonts w:cs="Times New Roman"/>
              </w:rPr>
              <w:t>VVF Studijų prodekanas</w:t>
            </w:r>
          </w:p>
          <w:p w14:paraId="55CD8650" w14:textId="408EA0E2" w:rsidR="00DF58F9" w:rsidRPr="005357A2" w:rsidRDefault="00DF58F9" w:rsidP="005E209F">
            <w:pPr>
              <w:rPr>
                <w:rFonts w:cs="Times New Roman"/>
                <w:lang w:val="de-DE"/>
              </w:rPr>
            </w:pPr>
            <w:r>
              <w:rPr>
                <w:rFonts w:cs="Times New Roman"/>
              </w:rPr>
              <w:t>SPK pirmininkai</w:t>
            </w:r>
          </w:p>
        </w:tc>
        <w:tc>
          <w:tcPr>
            <w:tcW w:w="767" w:type="pct"/>
          </w:tcPr>
          <w:p w14:paraId="771A4A9E" w14:textId="77777777" w:rsidR="004607E3" w:rsidRPr="000F069E" w:rsidRDefault="004607E3" w:rsidP="004607E3">
            <w:pPr>
              <w:jc w:val="center"/>
              <w:rPr>
                <w:rFonts w:cs="Times New Roman"/>
              </w:rPr>
            </w:pPr>
          </w:p>
        </w:tc>
      </w:tr>
      <w:tr w:rsidR="004607E3" w:rsidRPr="000F069E" w14:paraId="524C69B1" w14:textId="46AD8436" w:rsidTr="00CD4EB0">
        <w:tc>
          <w:tcPr>
            <w:tcW w:w="388" w:type="pct"/>
          </w:tcPr>
          <w:p w14:paraId="369BCB39" w14:textId="77777777" w:rsidR="004607E3" w:rsidRPr="000F069E" w:rsidRDefault="004607E3" w:rsidP="004607E3">
            <w:pPr>
              <w:jc w:val="center"/>
              <w:rPr>
                <w:rFonts w:cs="Times New Roman"/>
              </w:rPr>
            </w:pPr>
            <w:r w:rsidRPr="000F069E">
              <w:rPr>
                <w:rFonts w:cs="Times New Roman"/>
              </w:rPr>
              <w:t>2.</w:t>
            </w:r>
          </w:p>
        </w:tc>
        <w:tc>
          <w:tcPr>
            <w:tcW w:w="1203" w:type="pct"/>
          </w:tcPr>
          <w:p w14:paraId="11D009B3" w14:textId="7FD65C64" w:rsidR="004607E3" w:rsidRPr="000F069E" w:rsidRDefault="004607E3" w:rsidP="004607E3">
            <w:pPr>
              <w:rPr>
                <w:rFonts w:cs="Times New Roman"/>
              </w:rPr>
            </w:pPr>
            <w:r w:rsidRPr="00C1500D">
              <w:rPr>
                <w:rFonts w:cs="Times New Roman"/>
              </w:rPr>
              <w:t>Atsižvelgiant į tai, kad pagrindinė priežastis, dėl kurios studentai savanoriškai nutraukia studijas, yra sunkumai derinant darbą ir studijas, reikėtų peržiūrėti studentų darbo krūvį, mokymo metodus ir studijų programų turinį bei sukurti naujoviškus mišrius studijų metodus, kurie mažiau varžytų studentų galimybes dirbti ir studijuoti.</w:t>
            </w:r>
          </w:p>
        </w:tc>
        <w:tc>
          <w:tcPr>
            <w:tcW w:w="1182" w:type="pct"/>
          </w:tcPr>
          <w:p w14:paraId="05873044" w14:textId="0D0228CF" w:rsidR="004607E3" w:rsidRDefault="005E209F" w:rsidP="005E209F">
            <w:pPr>
              <w:rPr>
                <w:rFonts w:cs="Times New Roman"/>
              </w:rPr>
            </w:pPr>
            <w:r>
              <w:rPr>
                <w:rFonts w:cs="Times New Roman"/>
              </w:rPr>
              <w:t xml:space="preserve">Peržiūrėti visų krypties bakalauro studijų dalykų turinį, </w:t>
            </w:r>
            <w:r w:rsidR="00A65DD4">
              <w:rPr>
                <w:rFonts w:cs="Times New Roman"/>
              </w:rPr>
              <w:t>darbų apimtis, mokymosi metodus.</w:t>
            </w:r>
          </w:p>
          <w:p w14:paraId="7C620835" w14:textId="01AB2FDB" w:rsidR="00A65DD4" w:rsidRDefault="00A65DD4" w:rsidP="005E209F">
            <w:pPr>
              <w:rPr>
                <w:rFonts w:cs="Times New Roman"/>
              </w:rPr>
            </w:pPr>
            <w:r>
              <w:rPr>
                <w:rFonts w:cs="Times New Roman"/>
              </w:rPr>
              <w:t xml:space="preserve">Užtikrinti, kad </w:t>
            </w:r>
            <w:r w:rsidR="00085C71">
              <w:rPr>
                <w:rFonts w:cs="Times New Roman"/>
              </w:rPr>
              <w:t>darbų apimty</w:t>
            </w:r>
            <w:r>
              <w:rPr>
                <w:rFonts w:cs="Times New Roman"/>
              </w:rPr>
              <w:t xml:space="preserve">s atitiktų dalykų kreditų apimtis. </w:t>
            </w:r>
          </w:p>
          <w:p w14:paraId="7510D025" w14:textId="58F91E42" w:rsidR="00A65DD4" w:rsidRPr="000F069E" w:rsidRDefault="00A65DD4" w:rsidP="005E209F">
            <w:pPr>
              <w:rPr>
                <w:rFonts w:cs="Times New Roman"/>
              </w:rPr>
            </w:pPr>
            <w:r>
              <w:rPr>
                <w:rFonts w:cs="Times New Roman"/>
              </w:rPr>
              <w:t>Universiteto SK p</w:t>
            </w:r>
            <w:r w:rsidR="00085C71">
              <w:rPr>
                <w:rFonts w:cs="Times New Roman"/>
              </w:rPr>
              <w:t>asiūlyti apsvarstyti galimybę</w:t>
            </w:r>
            <w:r>
              <w:rPr>
                <w:rFonts w:cs="Times New Roman"/>
              </w:rPr>
              <w:t xml:space="preserve"> bakalauro studijose naudoti dalinį hibridinį mokymą.</w:t>
            </w:r>
          </w:p>
        </w:tc>
        <w:tc>
          <w:tcPr>
            <w:tcW w:w="682" w:type="pct"/>
          </w:tcPr>
          <w:p w14:paraId="7744FC58" w14:textId="2F3DE817" w:rsidR="004607E3" w:rsidRDefault="00E206CF" w:rsidP="004607E3">
            <w:pPr>
              <w:jc w:val="center"/>
              <w:rPr>
                <w:rFonts w:cs="Times New Roman"/>
                <w:lang w:val="en-GB"/>
              </w:rPr>
            </w:pPr>
            <w:r>
              <w:rPr>
                <w:rFonts w:cs="Times New Roman"/>
              </w:rPr>
              <w:t xml:space="preserve">Kiekvienais metais iki sausio </w:t>
            </w:r>
            <w:r w:rsidR="00085C71">
              <w:rPr>
                <w:rFonts w:cs="Times New Roman"/>
                <w:lang w:val="en-GB"/>
              </w:rPr>
              <w:t>15</w:t>
            </w:r>
            <w:r>
              <w:rPr>
                <w:rFonts w:cs="Times New Roman"/>
                <w:lang w:val="en-GB"/>
              </w:rPr>
              <w:t xml:space="preserve"> d.</w:t>
            </w:r>
          </w:p>
          <w:p w14:paraId="6ADBF91C" w14:textId="77777777" w:rsidR="00E206CF" w:rsidRDefault="00E206CF" w:rsidP="004607E3">
            <w:pPr>
              <w:jc w:val="center"/>
              <w:rPr>
                <w:rFonts w:cs="Times New Roman"/>
                <w:lang w:val="en-GB"/>
              </w:rPr>
            </w:pPr>
          </w:p>
          <w:p w14:paraId="613665D2" w14:textId="7C4E3B83" w:rsidR="00E206CF" w:rsidRDefault="00E206CF" w:rsidP="00085C71">
            <w:pPr>
              <w:rPr>
                <w:rFonts w:cs="Times New Roman"/>
              </w:rPr>
            </w:pPr>
          </w:p>
          <w:p w14:paraId="210E1D85" w14:textId="3A6F939E" w:rsidR="00D9157C" w:rsidRPr="00D9157C" w:rsidRDefault="00D9157C" w:rsidP="00004911">
            <w:pPr>
              <w:jc w:val="center"/>
              <w:rPr>
                <w:rFonts w:cs="Times New Roman"/>
              </w:rPr>
            </w:pPr>
            <w:r>
              <w:rPr>
                <w:rFonts w:cs="Times New Roman"/>
              </w:rPr>
              <w:t xml:space="preserve">Iki 2023 m. gruodžio </w:t>
            </w:r>
            <w:r w:rsidR="00004911">
              <w:rPr>
                <w:rFonts w:cs="Times New Roman"/>
              </w:rPr>
              <w:t>23</w:t>
            </w:r>
            <w:r w:rsidRPr="00D9157C">
              <w:rPr>
                <w:rFonts w:cs="Times New Roman"/>
              </w:rPr>
              <w:t xml:space="preserve"> d.</w:t>
            </w:r>
          </w:p>
        </w:tc>
        <w:tc>
          <w:tcPr>
            <w:tcW w:w="778" w:type="pct"/>
          </w:tcPr>
          <w:p w14:paraId="72649464" w14:textId="77777777" w:rsidR="004607E3" w:rsidRPr="00D9157C" w:rsidRDefault="00E206CF" w:rsidP="004607E3">
            <w:pPr>
              <w:jc w:val="center"/>
              <w:rPr>
                <w:rFonts w:cs="Times New Roman"/>
              </w:rPr>
            </w:pPr>
            <w:r w:rsidRPr="00D9157C">
              <w:rPr>
                <w:rFonts w:cs="Times New Roman"/>
              </w:rPr>
              <w:t>SPK pirmininkai</w:t>
            </w:r>
          </w:p>
          <w:p w14:paraId="5A822888" w14:textId="77777777" w:rsidR="00E206CF" w:rsidRPr="00D9157C" w:rsidRDefault="00E206CF" w:rsidP="004607E3">
            <w:pPr>
              <w:jc w:val="center"/>
              <w:rPr>
                <w:rFonts w:cs="Times New Roman"/>
              </w:rPr>
            </w:pPr>
          </w:p>
          <w:p w14:paraId="64C0D843" w14:textId="77777777" w:rsidR="00D9157C" w:rsidRPr="00D9157C" w:rsidRDefault="00D9157C" w:rsidP="004607E3">
            <w:pPr>
              <w:jc w:val="center"/>
              <w:rPr>
                <w:rFonts w:cs="Times New Roman"/>
              </w:rPr>
            </w:pPr>
          </w:p>
          <w:p w14:paraId="21D24AFA" w14:textId="2DE42DB3" w:rsidR="00D9157C" w:rsidRPr="00D9157C" w:rsidRDefault="00D9157C" w:rsidP="00085C71">
            <w:pPr>
              <w:rPr>
                <w:rFonts w:cs="Times New Roman"/>
              </w:rPr>
            </w:pPr>
          </w:p>
          <w:p w14:paraId="75A7361F" w14:textId="77777777" w:rsidR="00D9157C" w:rsidRPr="00D9157C" w:rsidRDefault="00D9157C" w:rsidP="004607E3">
            <w:pPr>
              <w:jc w:val="center"/>
              <w:rPr>
                <w:rFonts w:cs="Times New Roman"/>
              </w:rPr>
            </w:pPr>
          </w:p>
          <w:p w14:paraId="358F3762" w14:textId="55A4C262" w:rsidR="00D9157C" w:rsidRPr="00D9157C" w:rsidRDefault="00D9157C" w:rsidP="00D9157C">
            <w:pPr>
              <w:rPr>
                <w:rFonts w:cs="Times New Roman"/>
              </w:rPr>
            </w:pPr>
            <w:r w:rsidRPr="00D9157C">
              <w:rPr>
                <w:rFonts w:cs="Times New Roman"/>
              </w:rPr>
              <w:t>Studijų</w:t>
            </w:r>
            <w:r w:rsidR="00085C71">
              <w:rPr>
                <w:rFonts w:cs="Times New Roman"/>
              </w:rPr>
              <w:t xml:space="preserve"> ir akademinių reikalų prodekanai</w:t>
            </w:r>
          </w:p>
        </w:tc>
        <w:tc>
          <w:tcPr>
            <w:tcW w:w="767" w:type="pct"/>
          </w:tcPr>
          <w:p w14:paraId="09B5EC5A" w14:textId="0026CE80" w:rsidR="004607E3" w:rsidRPr="000F069E" w:rsidRDefault="00085C71" w:rsidP="004607E3">
            <w:pPr>
              <w:jc w:val="center"/>
              <w:rPr>
                <w:rFonts w:cs="Times New Roman"/>
              </w:rPr>
            </w:pPr>
            <w:r>
              <w:rPr>
                <w:rFonts w:cs="Times New Roman"/>
              </w:rPr>
              <w:t xml:space="preserve">Iki to termino keitimai pateikiami FSK svarstymui </w:t>
            </w:r>
          </w:p>
        </w:tc>
      </w:tr>
      <w:tr w:rsidR="004607E3" w:rsidRPr="000F069E" w14:paraId="17ACD024" w14:textId="2338FF48" w:rsidTr="00CD4EB0">
        <w:tc>
          <w:tcPr>
            <w:tcW w:w="388" w:type="pct"/>
          </w:tcPr>
          <w:p w14:paraId="587F82E4" w14:textId="77777777" w:rsidR="004607E3" w:rsidRPr="000F069E" w:rsidRDefault="004607E3" w:rsidP="004607E3">
            <w:pPr>
              <w:jc w:val="center"/>
              <w:rPr>
                <w:rFonts w:cs="Times New Roman"/>
              </w:rPr>
            </w:pPr>
            <w:r w:rsidRPr="000F069E">
              <w:rPr>
                <w:rFonts w:cs="Times New Roman"/>
              </w:rPr>
              <w:t>3.</w:t>
            </w:r>
          </w:p>
        </w:tc>
        <w:tc>
          <w:tcPr>
            <w:tcW w:w="1203" w:type="pct"/>
          </w:tcPr>
          <w:p w14:paraId="2ECD4BA2" w14:textId="0EC234FE" w:rsidR="004607E3" w:rsidRPr="000F069E" w:rsidRDefault="004607E3" w:rsidP="004607E3">
            <w:pPr>
              <w:rPr>
                <w:rFonts w:cs="Times New Roman"/>
              </w:rPr>
            </w:pPr>
            <w:r w:rsidRPr="00C1500D">
              <w:rPr>
                <w:rFonts w:cs="Times New Roman"/>
              </w:rPr>
              <w:t>Nuolat peržiūrėti siūlomų studijų struktūrą ir specializacijas, siekiant užtikrinti, kad jos būtų patrauklios potencialiems studentams ir atitiktų darbo rinkos poreikius.</w:t>
            </w:r>
          </w:p>
        </w:tc>
        <w:tc>
          <w:tcPr>
            <w:tcW w:w="1182" w:type="pct"/>
          </w:tcPr>
          <w:p w14:paraId="7D076AE4" w14:textId="7C928704" w:rsidR="005E209F" w:rsidRDefault="005E209F" w:rsidP="005E209F">
            <w:pPr>
              <w:rPr>
                <w:rFonts w:cs="Times New Roman"/>
              </w:rPr>
            </w:pPr>
            <w:r>
              <w:rPr>
                <w:rFonts w:cs="Times New Roman"/>
              </w:rPr>
              <w:t>Kiekvienais metais išanalizuoti kiek studentų pasirinko specializacijas</w:t>
            </w:r>
          </w:p>
          <w:p w14:paraId="1C52AC87" w14:textId="2CC21E31" w:rsidR="003B66F9" w:rsidRDefault="003B66F9" w:rsidP="005E209F">
            <w:pPr>
              <w:rPr>
                <w:rFonts w:cs="Times New Roman"/>
              </w:rPr>
            </w:pPr>
            <w:r>
              <w:rPr>
                <w:rFonts w:cs="Times New Roman"/>
              </w:rPr>
              <w:t xml:space="preserve">Fakultetų SK apsvarstyti galimybę uždaryti nepopuliarias specializacijas arba jas koreguoti, </w:t>
            </w:r>
            <w:r>
              <w:rPr>
                <w:rFonts w:cs="Times New Roman"/>
              </w:rPr>
              <w:lastRenderedPageBreak/>
              <w:t>kad geriau atlieptų rinkos poreikius</w:t>
            </w:r>
            <w:r w:rsidR="00085C71">
              <w:rPr>
                <w:rFonts w:cs="Times New Roman"/>
              </w:rPr>
              <w:t>.</w:t>
            </w:r>
          </w:p>
          <w:p w14:paraId="14DB416C" w14:textId="24390A11" w:rsidR="004607E3" w:rsidRPr="000F069E" w:rsidRDefault="005E209F" w:rsidP="005E209F">
            <w:pPr>
              <w:rPr>
                <w:rFonts w:cs="Times New Roman"/>
              </w:rPr>
            </w:pPr>
            <w:r>
              <w:rPr>
                <w:rFonts w:cs="Times New Roman"/>
              </w:rPr>
              <w:t>P</w:t>
            </w:r>
            <w:r w:rsidR="009D4F20">
              <w:rPr>
                <w:rFonts w:cs="Times New Roman"/>
              </w:rPr>
              <w:t>eriodiškai p</w:t>
            </w:r>
            <w:r>
              <w:rPr>
                <w:rFonts w:cs="Times New Roman"/>
              </w:rPr>
              <w:t>eržiūrėti studijų programų struktūrą ir specializacijas, į procesą įtraukiant socialinius dalininkus (studentus, absolventus ir verslo partnerius)</w:t>
            </w:r>
          </w:p>
        </w:tc>
        <w:tc>
          <w:tcPr>
            <w:tcW w:w="682" w:type="pct"/>
          </w:tcPr>
          <w:p w14:paraId="3A698F39" w14:textId="31BC349B" w:rsidR="004607E3" w:rsidRPr="009D4F20" w:rsidRDefault="009D4F20" w:rsidP="00004911">
            <w:pPr>
              <w:jc w:val="center"/>
              <w:rPr>
                <w:rFonts w:cs="Times New Roman"/>
              </w:rPr>
            </w:pPr>
            <w:r>
              <w:rPr>
                <w:rFonts w:cs="Times New Roman"/>
              </w:rPr>
              <w:lastRenderedPageBreak/>
              <w:t>Kiekvienais metais iki gruodžio</w:t>
            </w:r>
            <w:r w:rsidRPr="009D4F20">
              <w:rPr>
                <w:rFonts w:cs="Times New Roman"/>
              </w:rPr>
              <w:t xml:space="preserve"> </w:t>
            </w:r>
            <w:r w:rsidR="00004911">
              <w:rPr>
                <w:rFonts w:cs="Times New Roman"/>
              </w:rPr>
              <w:t xml:space="preserve">23 </w:t>
            </w:r>
            <w:r w:rsidRPr="009D4F20">
              <w:rPr>
                <w:rFonts w:cs="Times New Roman"/>
              </w:rPr>
              <w:t xml:space="preserve">d. </w:t>
            </w:r>
          </w:p>
        </w:tc>
        <w:tc>
          <w:tcPr>
            <w:tcW w:w="778" w:type="pct"/>
          </w:tcPr>
          <w:p w14:paraId="302865CC" w14:textId="77777777" w:rsidR="009D4F20" w:rsidRDefault="009D4F20" w:rsidP="004607E3">
            <w:pPr>
              <w:jc w:val="center"/>
              <w:rPr>
                <w:rFonts w:cs="Times New Roman"/>
              </w:rPr>
            </w:pPr>
            <w:r>
              <w:rPr>
                <w:rFonts w:cs="Times New Roman"/>
              </w:rPr>
              <w:t>Katedra,</w:t>
            </w:r>
          </w:p>
          <w:p w14:paraId="7EA84004" w14:textId="58E6FA97" w:rsidR="004607E3" w:rsidRPr="000F069E" w:rsidRDefault="009D4F20" w:rsidP="004607E3">
            <w:pPr>
              <w:jc w:val="center"/>
              <w:rPr>
                <w:rFonts w:cs="Times New Roman"/>
              </w:rPr>
            </w:pPr>
            <w:r>
              <w:rPr>
                <w:rFonts w:cs="Times New Roman"/>
              </w:rPr>
              <w:t>SPK ir fakultetų SK</w:t>
            </w:r>
          </w:p>
        </w:tc>
        <w:tc>
          <w:tcPr>
            <w:tcW w:w="767" w:type="pct"/>
          </w:tcPr>
          <w:p w14:paraId="5CA624AD" w14:textId="77777777" w:rsidR="004607E3" w:rsidRPr="000F069E" w:rsidRDefault="004607E3" w:rsidP="004607E3">
            <w:pPr>
              <w:jc w:val="center"/>
              <w:rPr>
                <w:rFonts w:cs="Times New Roman"/>
              </w:rPr>
            </w:pPr>
          </w:p>
        </w:tc>
      </w:tr>
      <w:tr w:rsidR="004607E3" w:rsidRPr="000F069E" w14:paraId="53442232" w14:textId="6CD9F18A" w:rsidTr="00CD4EB0">
        <w:tc>
          <w:tcPr>
            <w:tcW w:w="388" w:type="pct"/>
          </w:tcPr>
          <w:p w14:paraId="5BB9C420" w14:textId="77777777" w:rsidR="004607E3" w:rsidRPr="000F069E" w:rsidRDefault="004607E3" w:rsidP="004607E3">
            <w:pPr>
              <w:jc w:val="center"/>
              <w:rPr>
                <w:rFonts w:cs="Times New Roman"/>
              </w:rPr>
            </w:pPr>
            <w:r w:rsidRPr="000F069E">
              <w:rPr>
                <w:rFonts w:cs="Times New Roman"/>
              </w:rPr>
              <w:t>4.</w:t>
            </w:r>
          </w:p>
        </w:tc>
        <w:tc>
          <w:tcPr>
            <w:tcW w:w="1203" w:type="pct"/>
          </w:tcPr>
          <w:p w14:paraId="00A5F1AC" w14:textId="1657003B" w:rsidR="004607E3" w:rsidRPr="000F069E" w:rsidRDefault="004607E3" w:rsidP="004607E3">
            <w:pPr>
              <w:rPr>
                <w:rFonts w:cs="Times New Roman"/>
              </w:rPr>
            </w:pPr>
            <w:r w:rsidRPr="00C1500D">
              <w:rPr>
                <w:rFonts w:cs="Times New Roman"/>
              </w:rPr>
              <w:t>Peržiūrėti studijų tikslus ir rezultatus bei apsvarstyti galimybę naudoti konkrečius ir išmatuojamus veiksmažodžius, vengiant tų, kurių negalima stebėti ar išmatuoti, tad negalima ir objektyviai įvertinti.</w:t>
            </w:r>
          </w:p>
        </w:tc>
        <w:tc>
          <w:tcPr>
            <w:tcW w:w="1182" w:type="pct"/>
          </w:tcPr>
          <w:p w14:paraId="7934F220" w14:textId="3707EBAF" w:rsidR="004607E3" w:rsidRPr="000F069E" w:rsidRDefault="00004911" w:rsidP="00085C71">
            <w:pPr>
              <w:rPr>
                <w:rFonts w:cs="Times New Roman"/>
              </w:rPr>
            </w:pPr>
            <w:r w:rsidRPr="00C1500D">
              <w:rPr>
                <w:rFonts w:cs="Times New Roman"/>
              </w:rPr>
              <w:t>Peržiūrėti studijų tikslus ir rezultatus</w:t>
            </w:r>
            <w:r>
              <w:rPr>
                <w:rFonts w:cs="Times New Roman"/>
              </w:rPr>
              <w:t xml:space="preserve">, konsultuojantis su VILNIUS TECH </w:t>
            </w:r>
            <w:r w:rsidR="00085C71">
              <w:rPr>
                <w:rFonts w:cs="Times New Roman"/>
              </w:rPr>
              <w:t>A</w:t>
            </w:r>
            <w:r>
              <w:rPr>
                <w:rFonts w:cs="Times New Roman"/>
              </w:rPr>
              <w:t>kademinės paramos centru.</w:t>
            </w:r>
          </w:p>
        </w:tc>
        <w:tc>
          <w:tcPr>
            <w:tcW w:w="682" w:type="pct"/>
          </w:tcPr>
          <w:p w14:paraId="7F39C0FD" w14:textId="437511E8" w:rsidR="004607E3" w:rsidRPr="00004911" w:rsidRDefault="00004911" w:rsidP="004607E3">
            <w:pPr>
              <w:jc w:val="center"/>
              <w:rPr>
                <w:rFonts w:cs="Times New Roman"/>
              </w:rPr>
            </w:pPr>
            <w:r>
              <w:rPr>
                <w:rFonts w:cs="Times New Roman"/>
              </w:rPr>
              <w:t xml:space="preserve">Iki </w:t>
            </w:r>
            <w:r w:rsidRPr="00004911">
              <w:rPr>
                <w:rFonts w:cs="Times New Roman"/>
              </w:rPr>
              <w:t>2023 gruod</w:t>
            </w:r>
            <w:r>
              <w:rPr>
                <w:rFonts w:cs="Times New Roman"/>
              </w:rPr>
              <w:t xml:space="preserve">žio </w:t>
            </w:r>
            <w:r w:rsidRPr="00004911">
              <w:rPr>
                <w:rFonts w:cs="Times New Roman"/>
              </w:rPr>
              <w:t xml:space="preserve">23 d. </w:t>
            </w:r>
          </w:p>
        </w:tc>
        <w:tc>
          <w:tcPr>
            <w:tcW w:w="778" w:type="pct"/>
          </w:tcPr>
          <w:p w14:paraId="65ADAFF4" w14:textId="34127EF6" w:rsidR="004607E3" w:rsidRPr="000F069E" w:rsidRDefault="00004911" w:rsidP="004607E3">
            <w:pPr>
              <w:jc w:val="center"/>
              <w:rPr>
                <w:rFonts w:cs="Times New Roman"/>
              </w:rPr>
            </w:pPr>
            <w:r>
              <w:rPr>
                <w:rFonts w:cs="Times New Roman"/>
              </w:rPr>
              <w:t>SPK pirmininkai</w:t>
            </w:r>
          </w:p>
        </w:tc>
        <w:tc>
          <w:tcPr>
            <w:tcW w:w="767" w:type="pct"/>
          </w:tcPr>
          <w:p w14:paraId="00141C2B" w14:textId="77777777" w:rsidR="004607E3" w:rsidRPr="000F069E" w:rsidRDefault="004607E3" w:rsidP="004607E3">
            <w:pPr>
              <w:jc w:val="center"/>
              <w:rPr>
                <w:rFonts w:cs="Times New Roman"/>
              </w:rPr>
            </w:pPr>
          </w:p>
        </w:tc>
      </w:tr>
      <w:tr w:rsidR="00E023A3" w:rsidRPr="000F069E" w14:paraId="5B0F114B" w14:textId="1E8959CA" w:rsidTr="00CD4EB0">
        <w:tc>
          <w:tcPr>
            <w:tcW w:w="388" w:type="pct"/>
          </w:tcPr>
          <w:p w14:paraId="77E0A9FC" w14:textId="77777777" w:rsidR="00E023A3" w:rsidRPr="000F069E" w:rsidRDefault="00E023A3" w:rsidP="00E023A3">
            <w:pPr>
              <w:jc w:val="center"/>
              <w:rPr>
                <w:rFonts w:cs="Times New Roman"/>
              </w:rPr>
            </w:pPr>
            <w:r w:rsidRPr="000F069E">
              <w:rPr>
                <w:rFonts w:cs="Times New Roman"/>
              </w:rPr>
              <w:t>5.</w:t>
            </w:r>
          </w:p>
        </w:tc>
        <w:tc>
          <w:tcPr>
            <w:tcW w:w="1203" w:type="pct"/>
          </w:tcPr>
          <w:p w14:paraId="00E60FE1" w14:textId="4B588271" w:rsidR="00E023A3" w:rsidRPr="000F069E" w:rsidRDefault="00E023A3" w:rsidP="00E023A3">
            <w:pPr>
              <w:rPr>
                <w:rFonts w:cs="Times New Roman"/>
              </w:rPr>
            </w:pPr>
            <w:r w:rsidRPr="00C1500D">
              <w:rPr>
                <w:rFonts w:cs="Times New Roman"/>
              </w:rPr>
              <w:t>Parengti ir aprašyti ugdomus minkštuosius įgūdžius, atsižvelgiant į absolventų rezultatus.</w:t>
            </w:r>
          </w:p>
        </w:tc>
        <w:tc>
          <w:tcPr>
            <w:tcW w:w="1182" w:type="pct"/>
          </w:tcPr>
          <w:p w14:paraId="14FBCA70" w14:textId="295383ED" w:rsidR="00E023A3" w:rsidRPr="000F069E" w:rsidRDefault="00E023A3" w:rsidP="00E023A3">
            <w:pPr>
              <w:rPr>
                <w:rFonts w:cs="Times New Roman"/>
              </w:rPr>
            </w:pPr>
            <w:r>
              <w:rPr>
                <w:rFonts w:cs="Times New Roman"/>
              </w:rPr>
              <w:t>Konsultuojantis su Akademinės paramos centru, peržiūrėti ir patikslinti studijų programų ugdomus įgūdžius ir pakoreguoti studijų dalykų kortelių C dalį.</w:t>
            </w:r>
          </w:p>
        </w:tc>
        <w:tc>
          <w:tcPr>
            <w:tcW w:w="682" w:type="pct"/>
          </w:tcPr>
          <w:p w14:paraId="054900BC" w14:textId="06BB05A2" w:rsidR="00E023A3" w:rsidRDefault="00E023A3" w:rsidP="00E023A3">
            <w:pPr>
              <w:jc w:val="center"/>
              <w:rPr>
                <w:rFonts w:cs="Times New Roman"/>
              </w:rPr>
            </w:pPr>
            <w:r>
              <w:rPr>
                <w:rFonts w:cs="Times New Roman"/>
              </w:rPr>
              <w:t xml:space="preserve">Iki </w:t>
            </w:r>
            <w:r w:rsidRPr="00004911">
              <w:rPr>
                <w:rFonts w:cs="Times New Roman"/>
              </w:rPr>
              <w:t xml:space="preserve">2023 </w:t>
            </w:r>
            <w:r>
              <w:rPr>
                <w:rFonts w:cs="Times New Roman"/>
              </w:rPr>
              <w:t xml:space="preserve">birželio </w:t>
            </w:r>
            <w:r w:rsidRPr="00E023A3">
              <w:rPr>
                <w:rFonts w:cs="Times New Roman"/>
              </w:rPr>
              <w:t xml:space="preserve">31 d. </w:t>
            </w:r>
            <w:r w:rsidR="00085C71">
              <w:rPr>
                <w:rFonts w:cs="Times New Roman"/>
              </w:rPr>
              <w:t>bei</w:t>
            </w:r>
          </w:p>
          <w:p w14:paraId="1A91D7CC" w14:textId="4C726DEB" w:rsidR="00E023A3" w:rsidRPr="000F069E" w:rsidRDefault="00085C71" w:rsidP="006D403E">
            <w:pPr>
              <w:jc w:val="center"/>
              <w:rPr>
                <w:rFonts w:cs="Times New Roman"/>
              </w:rPr>
            </w:pPr>
            <w:r>
              <w:rPr>
                <w:rFonts w:cs="Times New Roman"/>
              </w:rPr>
              <w:t>i</w:t>
            </w:r>
            <w:r w:rsidR="00E023A3">
              <w:rPr>
                <w:rFonts w:cs="Times New Roman"/>
              </w:rPr>
              <w:t xml:space="preserve">ki </w:t>
            </w:r>
            <w:r w:rsidR="00E023A3" w:rsidRPr="00004911">
              <w:rPr>
                <w:rFonts w:cs="Times New Roman"/>
              </w:rPr>
              <w:t>2023 gruod</w:t>
            </w:r>
            <w:r w:rsidR="00E023A3">
              <w:rPr>
                <w:rFonts w:cs="Times New Roman"/>
              </w:rPr>
              <w:t xml:space="preserve">žio </w:t>
            </w:r>
            <w:r w:rsidR="00E023A3" w:rsidRPr="00004911">
              <w:rPr>
                <w:rFonts w:cs="Times New Roman"/>
              </w:rPr>
              <w:t xml:space="preserve">23 d. </w:t>
            </w:r>
          </w:p>
        </w:tc>
        <w:tc>
          <w:tcPr>
            <w:tcW w:w="778" w:type="pct"/>
          </w:tcPr>
          <w:p w14:paraId="50547D8E" w14:textId="77777777" w:rsidR="00E023A3" w:rsidRDefault="00103C26" w:rsidP="00E023A3">
            <w:pPr>
              <w:jc w:val="center"/>
              <w:rPr>
                <w:rFonts w:cs="Times New Roman"/>
              </w:rPr>
            </w:pPr>
            <w:r>
              <w:rPr>
                <w:rFonts w:cs="Times New Roman"/>
              </w:rPr>
              <w:t>SPK pirmininkai,</w:t>
            </w:r>
          </w:p>
          <w:p w14:paraId="6810796C" w14:textId="7AC5D5F7" w:rsidR="00103C26" w:rsidRPr="000F069E" w:rsidRDefault="00103C26" w:rsidP="00E023A3">
            <w:pPr>
              <w:jc w:val="center"/>
              <w:rPr>
                <w:rFonts w:cs="Times New Roman"/>
              </w:rPr>
            </w:pPr>
            <w:r>
              <w:rPr>
                <w:rFonts w:cs="Times New Roman"/>
              </w:rPr>
              <w:t>Fakulteto SK</w:t>
            </w:r>
          </w:p>
        </w:tc>
        <w:tc>
          <w:tcPr>
            <w:tcW w:w="767" w:type="pct"/>
          </w:tcPr>
          <w:p w14:paraId="16466EC2" w14:textId="58F5C49D" w:rsidR="00E023A3" w:rsidRPr="000F069E" w:rsidRDefault="00085C71" w:rsidP="00085C71">
            <w:pPr>
              <w:jc w:val="center"/>
              <w:rPr>
                <w:rFonts w:cs="Times New Roman"/>
              </w:rPr>
            </w:pPr>
            <w:r>
              <w:rPr>
                <w:rFonts w:cs="Times New Roman"/>
              </w:rPr>
              <w:t xml:space="preserve">Iki </w:t>
            </w:r>
            <w:r w:rsidRPr="00B2294C">
              <w:rPr>
                <w:rFonts w:cs="Times New Roman"/>
              </w:rPr>
              <w:t xml:space="preserve">2023-06-31 </w:t>
            </w:r>
            <w:r w:rsidR="00B2294C">
              <w:rPr>
                <w:rFonts w:cs="Times New Roman"/>
              </w:rPr>
              <w:t>padaryti</w:t>
            </w:r>
            <w:r>
              <w:rPr>
                <w:rFonts w:cs="Times New Roman"/>
              </w:rPr>
              <w:t xml:space="preserve"> korekcijas rudens semestro dalykų kortelėse</w:t>
            </w:r>
            <w:r w:rsidR="00B2294C">
              <w:rPr>
                <w:rFonts w:cs="Times New Roman"/>
              </w:rPr>
              <w:t>, iki 2023-12-12 – pavasario semestro</w:t>
            </w:r>
          </w:p>
        </w:tc>
      </w:tr>
      <w:tr w:rsidR="00E023A3" w:rsidRPr="000F069E" w14:paraId="67B6E76B" w14:textId="77777777" w:rsidTr="004607E3">
        <w:tc>
          <w:tcPr>
            <w:tcW w:w="5000" w:type="pct"/>
            <w:gridSpan w:val="6"/>
          </w:tcPr>
          <w:p w14:paraId="7530AF02" w14:textId="42A216B6" w:rsidR="00E023A3" w:rsidRPr="000F069E" w:rsidRDefault="00E023A3" w:rsidP="00E023A3">
            <w:pPr>
              <w:jc w:val="center"/>
              <w:rPr>
                <w:rFonts w:cs="Times New Roman"/>
              </w:rPr>
            </w:pPr>
            <w:r w:rsidRPr="00FB386B">
              <w:rPr>
                <w:rFonts w:cs="Times New Roman"/>
                <w:b/>
                <w:bCs/>
              </w:rPr>
              <w:t>Mokslo (meno) ir studijų veiklos sąsajos</w:t>
            </w:r>
          </w:p>
        </w:tc>
      </w:tr>
      <w:tr w:rsidR="00E023A3" w:rsidRPr="000F069E" w14:paraId="3A80F922" w14:textId="77777777" w:rsidTr="009B1A98">
        <w:tc>
          <w:tcPr>
            <w:tcW w:w="388" w:type="pct"/>
          </w:tcPr>
          <w:p w14:paraId="6ED8F246" w14:textId="3D8FD12E" w:rsidR="00E023A3" w:rsidRPr="000F069E" w:rsidRDefault="00E023A3" w:rsidP="00E023A3">
            <w:pPr>
              <w:jc w:val="center"/>
              <w:rPr>
                <w:rFonts w:cs="Times New Roman"/>
              </w:rPr>
            </w:pPr>
            <w:r>
              <w:rPr>
                <w:rFonts w:cs="Times New Roman"/>
              </w:rPr>
              <w:t>1.</w:t>
            </w:r>
          </w:p>
        </w:tc>
        <w:tc>
          <w:tcPr>
            <w:tcW w:w="1203" w:type="pct"/>
          </w:tcPr>
          <w:p w14:paraId="13D351AE" w14:textId="74E7D3C9" w:rsidR="00E023A3" w:rsidRPr="000F069E" w:rsidRDefault="00E023A3" w:rsidP="00E023A3">
            <w:pPr>
              <w:rPr>
                <w:rFonts w:cs="Times New Roman"/>
              </w:rPr>
            </w:pPr>
            <w:r w:rsidRPr="00C1500D">
              <w:rPr>
                <w:rFonts w:cs="Times New Roman"/>
              </w:rPr>
              <w:t>Būtų naudinga toliau plėtoti mokslinių tyrimų planus tarptautinių ryšių ir jų matomumo požiūriu.</w:t>
            </w:r>
          </w:p>
        </w:tc>
        <w:tc>
          <w:tcPr>
            <w:tcW w:w="1182" w:type="pct"/>
            <w:shd w:val="clear" w:color="auto" w:fill="auto"/>
          </w:tcPr>
          <w:p w14:paraId="152BC7BC" w14:textId="77777777" w:rsidR="00E023A3" w:rsidRPr="009B1A98" w:rsidRDefault="009B1A98" w:rsidP="009B1A98">
            <w:pPr>
              <w:jc w:val="center"/>
              <w:rPr>
                <w:rFonts w:cs="Times New Roman"/>
                <w:szCs w:val="24"/>
              </w:rPr>
            </w:pPr>
            <w:r w:rsidRPr="009B1A98">
              <w:rPr>
                <w:rFonts w:cs="Times New Roman"/>
              </w:rPr>
              <w:t xml:space="preserve">Skatinti dėstytojus intensyviau dalyvauti moksliniuose </w:t>
            </w:r>
            <w:r w:rsidRPr="009B1A98">
              <w:rPr>
                <w:rFonts w:cs="Times New Roman"/>
                <w:szCs w:val="24"/>
              </w:rPr>
              <w:t>tyrimuose ir plėsti tarptautinę ir nacionalinę verslo krypties mokslinę veiklą.</w:t>
            </w:r>
          </w:p>
          <w:p w14:paraId="2CF14991" w14:textId="462B22BA" w:rsidR="009B1A98" w:rsidRPr="008872D6" w:rsidRDefault="009B1A98" w:rsidP="009B1A98">
            <w:pPr>
              <w:jc w:val="center"/>
              <w:rPr>
                <w:rFonts w:cs="Times New Roman"/>
                <w:highlight w:val="darkCyan"/>
              </w:rPr>
            </w:pPr>
            <w:r w:rsidRPr="009B1A98">
              <w:rPr>
                <w:rFonts w:cs="Times New Roman"/>
                <w:szCs w:val="24"/>
              </w:rPr>
              <w:t xml:space="preserve">Skatinti akademinę bendruomenę aktyviau dalyvauti </w:t>
            </w:r>
            <w:r w:rsidRPr="009B1A98">
              <w:rPr>
                <w:rFonts w:cs="Times New Roman"/>
                <w:iCs/>
                <w:szCs w:val="24"/>
                <w:shd w:val="clear" w:color="auto" w:fill="FFFFFF"/>
              </w:rPr>
              <w:t>fakultete patvirtintose prioritetinėse konferencijose, užsimegzti naujus mokslinius ryšius.</w:t>
            </w:r>
          </w:p>
        </w:tc>
        <w:tc>
          <w:tcPr>
            <w:tcW w:w="682" w:type="pct"/>
          </w:tcPr>
          <w:p w14:paraId="3FA012D9" w14:textId="74BEDF2A" w:rsidR="00E023A3" w:rsidRPr="000F069E" w:rsidRDefault="009B1A98" w:rsidP="00E023A3">
            <w:pPr>
              <w:jc w:val="center"/>
              <w:rPr>
                <w:rFonts w:cs="Times New Roman"/>
              </w:rPr>
            </w:pPr>
            <w:r>
              <w:rPr>
                <w:rFonts w:cs="Times New Roman"/>
              </w:rPr>
              <w:t>Nuolat</w:t>
            </w:r>
          </w:p>
        </w:tc>
        <w:tc>
          <w:tcPr>
            <w:tcW w:w="778" w:type="pct"/>
          </w:tcPr>
          <w:p w14:paraId="7AFFDA22" w14:textId="38E7F784" w:rsidR="00E023A3" w:rsidRPr="000F069E" w:rsidRDefault="00B2294C" w:rsidP="00B2294C">
            <w:pPr>
              <w:jc w:val="center"/>
              <w:rPr>
                <w:rFonts w:cs="Times New Roman"/>
              </w:rPr>
            </w:pPr>
            <w:r>
              <w:rPr>
                <w:rFonts w:cs="Times New Roman"/>
              </w:rPr>
              <w:t>Mokslo direkcija, F</w:t>
            </w:r>
            <w:r w:rsidR="009B1A98">
              <w:rPr>
                <w:rFonts w:cs="Times New Roman"/>
              </w:rPr>
              <w:t>akultetų mokslo prodekanai</w:t>
            </w:r>
            <w:r w:rsidR="0017270D">
              <w:rPr>
                <w:rFonts w:cs="Times New Roman"/>
              </w:rPr>
              <w:t xml:space="preserve">, </w:t>
            </w:r>
            <w:r>
              <w:rPr>
                <w:rFonts w:cs="Times New Roman"/>
              </w:rPr>
              <w:t>Verslo krypties dėstytojai</w:t>
            </w:r>
          </w:p>
        </w:tc>
        <w:tc>
          <w:tcPr>
            <w:tcW w:w="767" w:type="pct"/>
          </w:tcPr>
          <w:p w14:paraId="4460393F" w14:textId="77777777" w:rsidR="00E023A3" w:rsidRPr="000F069E" w:rsidRDefault="00E023A3" w:rsidP="00E023A3">
            <w:pPr>
              <w:jc w:val="center"/>
              <w:rPr>
                <w:rFonts w:cs="Times New Roman"/>
              </w:rPr>
            </w:pPr>
          </w:p>
        </w:tc>
      </w:tr>
      <w:tr w:rsidR="00E023A3" w:rsidRPr="000F069E" w14:paraId="64906BF2" w14:textId="77777777" w:rsidTr="00CD4EB0">
        <w:tc>
          <w:tcPr>
            <w:tcW w:w="388" w:type="pct"/>
          </w:tcPr>
          <w:p w14:paraId="7ABBBE89" w14:textId="5055A1EE" w:rsidR="00E023A3" w:rsidRDefault="00E023A3" w:rsidP="00E023A3">
            <w:pPr>
              <w:jc w:val="center"/>
              <w:rPr>
                <w:rFonts w:cs="Times New Roman"/>
              </w:rPr>
            </w:pPr>
            <w:r>
              <w:rPr>
                <w:rFonts w:cs="Times New Roman"/>
              </w:rPr>
              <w:lastRenderedPageBreak/>
              <w:t>2.</w:t>
            </w:r>
          </w:p>
        </w:tc>
        <w:tc>
          <w:tcPr>
            <w:tcW w:w="1203" w:type="pct"/>
          </w:tcPr>
          <w:p w14:paraId="0F89940B" w14:textId="70F5C60E" w:rsidR="00E023A3" w:rsidRPr="000F069E" w:rsidRDefault="00E023A3" w:rsidP="00E023A3">
            <w:pPr>
              <w:rPr>
                <w:rFonts w:cs="Times New Roman"/>
              </w:rPr>
            </w:pPr>
            <w:r w:rsidRPr="00C1500D">
              <w:rPr>
                <w:rFonts w:cs="Times New Roman"/>
              </w:rPr>
              <w:t>Aiškiau parodyti ryšį tarp vykdomų mokslinių tyrimų ir to, kaip jie prisideda prie studijų programų turinio ir studentų patirties, ypač pirmosios pakopos programose.</w:t>
            </w:r>
          </w:p>
        </w:tc>
        <w:tc>
          <w:tcPr>
            <w:tcW w:w="1182" w:type="pct"/>
          </w:tcPr>
          <w:p w14:paraId="64DD2498" w14:textId="4A4471D1" w:rsidR="00C83127" w:rsidRPr="00B2294C" w:rsidRDefault="00C83127" w:rsidP="00C83127">
            <w:pPr>
              <w:jc w:val="center"/>
              <w:rPr>
                <w:rFonts w:cs="Times New Roman"/>
              </w:rPr>
            </w:pPr>
            <w:r w:rsidRPr="00B2294C">
              <w:rPr>
                <w:rFonts w:cs="Times New Roman"/>
              </w:rPr>
              <w:t xml:space="preserve">Mokslinių tyrimų rezultatus integruoti į studijų dalykų turinį, nuorodas į juos </w:t>
            </w:r>
            <w:r w:rsidR="00B2294C" w:rsidRPr="00B2294C">
              <w:rPr>
                <w:rFonts w:cs="Times New Roman"/>
              </w:rPr>
              <w:t xml:space="preserve">pateikti </w:t>
            </w:r>
            <w:r w:rsidRPr="00B2294C">
              <w:rPr>
                <w:rFonts w:cs="Times New Roman"/>
              </w:rPr>
              <w:t>daly</w:t>
            </w:r>
            <w:r w:rsidR="00B2294C" w:rsidRPr="00B2294C">
              <w:rPr>
                <w:rFonts w:cs="Times New Roman"/>
              </w:rPr>
              <w:t xml:space="preserve">kų kortelių literatūros sąraše bei </w:t>
            </w:r>
            <w:r w:rsidRPr="00B2294C">
              <w:rPr>
                <w:rFonts w:cs="Times New Roman"/>
              </w:rPr>
              <w:t xml:space="preserve">mokymo aplinkoje. </w:t>
            </w:r>
          </w:p>
          <w:p w14:paraId="2C0130A8" w14:textId="75D109F8" w:rsidR="00E023A3" w:rsidRPr="000F069E" w:rsidRDefault="00E023A3" w:rsidP="00E023A3">
            <w:pPr>
              <w:jc w:val="center"/>
              <w:rPr>
                <w:rFonts w:cs="Times New Roman"/>
              </w:rPr>
            </w:pPr>
          </w:p>
        </w:tc>
        <w:tc>
          <w:tcPr>
            <w:tcW w:w="682" w:type="pct"/>
          </w:tcPr>
          <w:p w14:paraId="44B45B86" w14:textId="604E2614" w:rsidR="00E023A3" w:rsidRPr="000F069E" w:rsidRDefault="00C83127" w:rsidP="00E023A3">
            <w:pPr>
              <w:jc w:val="center"/>
              <w:rPr>
                <w:rFonts w:cs="Times New Roman"/>
              </w:rPr>
            </w:pPr>
            <w:r>
              <w:rPr>
                <w:rFonts w:cs="Times New Roman"/>
              </w:rPr>
              <w:t>Nuolat</w:t>
            </w:r>
          </w:p>
        </w:tc>
        <w:tc>
          <w:tcPr>
            <w:tcW w:w="778" w:type="pct"/>
          </w:tcPr>
          <w:p w14:paraId="5627E9E3" w14:textId="5A30F8CF" w:rsidR="00E023A3" w:rsidRPr="000F069E" w:rsidRDefault="00C83127" w:rsidP="00E023A3">
            <w:pPr>
              <w:jc w:val="center"/>
              <w:rPr>
                <w:rFonts w:cs="Times New Roman"/>
              </w:rPr>
            </w:pPr>
            <w:r>
              <w:rPr>
                <w:rFonts w:cs="Times New Roman"/>
              </w:rPr>
              <w:t>Verslo krypties dėstytojai</w:t>
            </w:r>
            <w:r w:rsidR="003F12CC">
              <w:rPr>
                <w:rFonts w:cs="Times New Roman"/>
              </w:rPr>
              <w:t>, katedrų vedėjai</w:t>
            </w:r>
          </w:p>
        </w:tc>
        <w:tc>
          <w:tcPr>
            <w:tcW w:w="767" w:type="pct"/>
          </w:tcPr>
          <w:p w14:paraId="54448ADF" w14:textId="77777777" w:rsidR="00E023A3" w:rsidRPr="000F069E" w:rsidRDefault="00E023A3" w:rsidP="00E023A3">
            <w:pPr>
              <w:jc w:val="center"/>
              <w:rPr>
                <w:rFonts w:cs="Times New Roman"/>
              </w:rPr>
            </w:pPr>
          </w:p>
        </w:tc>
      </w:tr>
      <w:tr w:rsidR="00E023A3" w:rsidRPr="000F069E" w14:paraId="17733586" w14:textId="77777777" w:rsidTr="004607E3">
        <w:tc>
          <w:tcPr>
            <w:tcW w:w="5000" w:type="pct"/>
            <w:gridSpan w:val="6"/>
          </w:tcPr>
          <w:p w14:paraId="31E41E82" w14:textId="266285DC" w:rsidR="00E023A3" w:rsidRPr="000F069E" w:rsidRDefault="00E023A3" w:rsidP="00E023A3">
            <w:pPr>
              <w:jc w:val="center"/>
              <w:rPr>
                <w:rFonts w:cs="Times New Roman"/>
              </w:rPr>
            </w:pPr>
            <w:r w:rsidRPr="00FB386B">
              <w:rPr>
                <w:rFonts w:cs="Times New Roman"/>
                <w:b/>
                <w:bCs/>
              </w:rPr>
              <w:t>Studentų priėmimas ir parama</w:t>
            </w:r>
          </w:p>
        </w:tc>
      </w:tr>
      <w:tr w:rsidR="00E023A3" w:rsidRPr="000F069E" w14:paraId="20E84581" w14:textId="77777777" w:rsidTr="00CD4EB0">
        <w:tc>
          <w:tcPr>
            <w:tcW w:w="388" w:type="pct"/>
          </w:tcPr>
          <w:p w14:paraId="6496487D" w14:textId="0F9F64D7" w:rsidR="00E023A3" w:rsidRDefault="00E023A3" w:rsidP="00E023A3">
            <w:pPr>
              <w:jc w:val="center"/>
              <w:rPr>
                <w:rFonts w:cs="Times New Roman"/>
              </w:rPr>
            </w:pPr>
            <w:r>
              <w:rPr>
                <w:rFonts w:cs="Times New Roman"/>
              </w:rPr>
              <w:t>1.</w:t>
            </w:r>
          </w:p>
        </w:tc>
        <w:tc>
          <w:tcPr>
            <w:tcW w:w="1203" w:type="pct"/>
          </w:tcPr>
          <w:p w14:paraId="7467D513" w14:textId="07C2DB36" w:rsidR="00E023A3" w:rsidRPr="000F069E" w:rsidRDefault="00E023A3" w:rsidP="00B2294C">
            <w:pPr>
              <w:rPr>
                <w:rFonts w:cs="Times New Roman"/>
              </w:rPr>
            </w:pPr>
            <w:r w:rsidRPr="00C1500D">
              <w:rPr>
                <w:rFonts w:cs="Times New Roman"/>
              </w:rPr>
              <w:t xml:space="preserve">Atlikti išsamų vertinimą siekiant geriau suprasti, kodėl mažėja </w:t>
            </w:r>
            <w:r w:rsidR="00B2294C">
              <w:rPr>
                <w:rFonts w:cs="Times New Roman"/>
              </w:rPr>
              <w:t xml:space="preserve">skaičius </w:t>
            </w:r>
            <w:r w:rsidRPr="00C1500D">
              <w:rPr>
                <w:rFonts w:cs="Times New Roman"/>
              </w:rPr>
              <w:t>teikiamų paraiškų į pirmosios pakopos studijų programas, kiek studentų nutraukia studijas jau studijuodami ir koks yra paramos priemonių, kurios galėtų sumažinti savanoriško studijų nutraukimo atvejų skaičių, vaidmuo.</w:t>
            </w:r>
          </w:p>
        </w:tc>
        <w:tc>
          <w:tcPr>
            <w:tcW w:w="1182" w:type="pct"/>
          </w:tcPr>
          <w:p w14:paraId="6B6D76CA" w14:textId="449BC694" w:rsidR="00163DC3" w:rsidRPr="00B2294C" w:rsidRDefault="00163DC3" w:rsidP="00E023A3">
            <w:pPr>
              <w:jc w:val="center"/>
              <w:rPr>
                <w:rFonts w:cs="Times New Roman"/>
              </w:rPr>
            </w:pPr>
            <w:r w:rsidRPr="00B2294C">
              <w:rPr>
                <w:rFonts w:cs="Times New Roman"/>
              </w:rPr>
              <w:t xml:space="preserve">Fakulteto lygmeniu išsami analizė atlikta. </w:t>
            </w:r>
          </w:p>
          <w:p w14:paraId="271DEB91" w14:textId="3627B1CB" w:rsidR="00163DC3" w:rsidRPr="00B2294C" w:rsidRDefault="00163DC3" w:rsidP="00E023A3">
            <w:pPr>
              <w:jc w:val="center"/>
              <w:rPr>
                <w:rFonts w:cs="Times New Roman"/>
              </w:rPr>
            </w:pPr>
            <w:r w:rsidRPr="00B2294C">
              <w:rPr>
                <w:rFonts w:cs="Times New Roman"/>
              </w:rPr>
              <w:t>Atlikti analizę kiekvienos studijų programos lygmeniu</w:t>
            </w:r>
            <w:r w:rsidR="008879E9" w:rsidRPr="00B2294C">
              <w:rPr>
                <w:rFonts w:cs="Times New Roman"/>
              </w:rPr>
              <w:t>.</w:t>
            </w:r>
          </w:p>
          <w:p w14:paraId="4E6628CC" w14:textId="122C328B" w:rsidR="00E023A3" w:rsidRPr="00B2294C" w:rsidRDefault="00E023A3" w:rsidP="00163DC3">
            <w:pPr>
              <w:rPr>
                <w:rFonts w:cs="Times New Roman"/>
                <w:highlight w:val="darkCyan"/>
              </w:rPr>
            </w:pPr>
          </w:p>
        </w:tc>
        <w:tc>
          <w:tcPr>
            <w:tcW w:w="682" w:type="pct"/>
          </w:tcPr>
          <w:p w14:paraId="78B4C05F" w14:textId="77777777" w:rsidR="008879E9" w:rsidRDefault="008879E9" w:rsidP="00E023A3">
            <w:pPr>
              <w:jc w:val="center"/>
              <w:rPr>
                <w:rFonts w:cs="Times New Roman"/>
              </w:rPr>
            </w:pPr>
            <w:r>
              <w:rPr>
                <w:rFonts w:cs="Times New Roman"/>
              </w:rPr>
              <w:t xml:space="preserve">Kasmet iki </w:t>
            </w:r>
          </w:p>
          <w:p w14:paraId="3AAFCB13" w14:textId="55855FB0" w:rsidR="00E023A3" w:rsidRDefault="008879E9" w:rsidP="00E023A3">
            <w:pPr>
              <w:jc w:val="center"/>
              <w:rPr>
                <w:rFonts w:cs="Times New Roman"/>
              </w:rPr>
            </w:pPr>
            <w:r>
              <w:rPr>
                <w:rFonts w:cs="Times New Roman"/>
              </w:rPr>
              <w:t>spalio 1 d.</w:t>
            </w:r>
          </w:p>
          <w:p w14:paraId="4037ED5B" w14:textId="596063E8" w:rsidR="008879E9" w:rsidRPr="008879E9" w:rsidRDefault="008879E9" w:rsidP="00E023A3">
            <w:pPr>
              <w:jc w:val="center"/>
              <w:rPr>
                <w:rFonts w:cs="Times New Roman"/>
              </w:rPr>
            </w:pPr>
          </w:p>
        </w:tc>
        <w:tc>
          <w:tcPr>
            <w:tcW w:w="778" w:type="pct"/>
          </w:tcPr>
          <w:p w14:paraId="3C998E55" w14:textId="378A642E" w:rsidR="00E023A3" w:rsidRPr="000F069E" w:rsidRDefault="00B2294C" w:rsidP="00E023A3">
            <w:pPr>
              <w:jc w:val="center"/>
              <w:rPr>
                <w:rFonts w:cs="Times New Roman"/>
              </w:rPr>
            </w:pPr>
            <w:r>
              <w:rPr>
                <w:rFonts w:cs="Times New Roman"/>
              </w:rPr>
              <w:t>SPK, Fakultetų SK</w:t>
            </w:r>
          </w:p>
        </w:tc>
        <w:tc>
          <w:tcPr>
            <w:tcW w:w="767" w:type="pct"/>
          </w:tcPr>
          <w:p w14:paraId="69F61749" w14:textId="77777777" w:rsidR="00E023A3" w:rsidRPr="000F069E" w:rsidRDefault="00E023A3" w:rsidP="00E023A3">
            <w:pPr>
              <w:jc w:val="center"/>
              <w:rPr>
                <w:rFonts w:cs="Times New Roman"/>
              </w:rPr>
            </w:pPr>
          </w:p>
        </w:tc>
      </w:tr>
      <w:tr w:rsidR="00E023A3" w:rsidRPr="000F069E" w14:paraId="780FD57D" w14:textId="77777777" w:rsidTr="002E18B9">
        <w:tc>
          <w:tcPr>
            <w:tcW w:w="5000" w:type="pct"/>
            <w:gridSpan w:val="6"/>
          </w:tcPr>
          <w:p w14:paraId="6417972F" w14:textId="0DCD05DA" w:rsidR="00E023A3" w:rsidRPr="000F069E" w:rsidRDefault="00E023A3" w:rsidP="00E023A3">
            <w:pPr>
              <w:jc w:val="center"/>
              <w:rPr>
                <w:rFonts w:cs="Times New Roman"/>
              </w:rPr>
            </w:pPr>
            <w:r w:rsidRPr="00FB386B">
              <w:rPr>
                <w:rFonts w:cs="Times New Roman"/>
                <w:b/>
                <w:bCs/>
              </w:rPr>
              <w:t>Studijavimas, studijų pasiekimai ir absolventų užimtumas</w:t>
            </w:r>
          </w:p>
        </w:tc>
      </w:tr>
      <w:tr w:rsidR="00E023A3" w:rsidRPr="000F069E" w14:paraId="27F39474" w14:textId="77777777" w:rsidTr="00CD4EB0">
        <w:tc>
          <w:tcPr>
            <w:tcW w:w="388" w:type="pct"/>
          </w:tcPr>
          <w:p w14:paraId="00E33146" w14:textId="5DEEA003" w:rsidR="00E023A3" w:rsidRDefault="00E023A3" w:rsidP="00E023A3">
            <w:pPr>
              <w:jc w:val="center"/>
              <w:rPr>
                <w:rFonts w:cs="Times New Roman"/>
              </w:rPr>
            </w:pPr>
            <w:r>
              <w:rPr>
                <w:rFonts w:cs="Times New Roman"/>
              </w:rPr>
              <w:t>1.</w:t>
            </w:r>
          </w:p>
        </w:tc>
        <w:tc>
          <w:tcPr>
            <w:tcW w:w="1203" w:type="pct"/>
          </w:tcPr>
          <w:p w14:paraId="26E5ECAC" w14:textId="02431EB9" w:rsidR="00E023A3" w:rsidRPr="000F069E" w:rsidRDefault="00E023A3" w:rsidP="00E023A3">
            <w:pPr>
              <w:rPr>
                <w:rFonts w:cs="Times New Roman"/>
              </w:rPr>
            </w:pPr>
            <w:r w:rsidRPr="00C1500D">
              <w:rPr>
                <w:rFonts w:cs="Times New Roman"/>
              </w:rPr>
              <w:t>Peržiūrėti rinkodaros, studentų pritraukimo, pagrįsto jų siekiais, ir studijų programų ryšį, siekiant geriau suprasti galimus nesuderinamumus, kurie gali lemti aukštą nubyrėjimo lygį.</w:t>
            </w:r>
          </w:p>
        </w:tc>
        <w:tc>
          <w:tcPr>
            <w:tcW w:w="1182" w:type="pct"/>
          </w:tcPr>
          <w:p w14:paraId="5DB55CB3" w14:textId="521E066F" w:rsidR="00E023A3" w:rsidRPr="000F069E" w:rsidRDefault="008C1361" w:rsidP="00B2294C">
            <w:pPr>
              <w:jc w:val="center"/>
              <w:rPr>
                <w:rFonts w:cs="Times New Roman"/>
              </w:rPr>
            </w:pPr>
            <w:r w:rsidRPr="00B2294C">
              <w:rPr>
                <w:rFonts w:cs="Times New Roman"/>
              </w:rPr>
              <w:t xml:space="preserve">Atsižvelgiant į tai, kad I pakopos SP studentų nubyrėjimo lygis </w:t>
            </w:r>
            <w:r w:rsidR="00B2294C" w:rsidRPr="00B2294C">
              <w:rPr>
                <w:rFonts w:cs="Times New Roman"/>
              </w:rPr>
              <w:t>nedidėlis</w:t>
            </w:r>
            <w:r w:rsidRPr="00B2294C">
              <w:rPr>
                <w:rFonts w:cs="Times New Roman"/>
              </w:rPr>
              <w:t xml:space="preserve">, </w:t>
            </w:r>
            <w:r w:rsidR="00844F99" w:rsidRPr="00B2294C">
              <w:rPr>
                <w:rFonts w:cs="Times New Roman"/>
              </w:rPr>
              <w:t>peržiūrėti II pakopos rinkodaros, studentų pritraukimo, pagrįsto jų siekiais, ir studijų programų ryšį, siekiant geriau s</w:t>
            </w:r>
            <w:r w:rsidR="00B2294C" w:rsidRPr="00B2294C">
              <w:rPr>
                <w:rFonts w:cs="Times New Roman"/>
              </w:rPr>
              <w:t>uprasti galimus nesuderinamumus. A</w:t>
            </w:r>
            <w:r w:rsidR="00844F99" w:rsidRPr="00B2294C">
              <w:rPr>
                <w:rFonts w:cs="Times New Roman"/>
              </w:rPr>
              <w:t>tsižvelgiant į studentų grįžtamąjį</w:t>
            </w:r>
            <w:r w:rsidR="00B2294C" w:rsidRPr="00B2294C">
              <w:rPr>
                <w:rFonts w:cs="Times New Roman"/>
              </w:rPr>
              <w:t xml:space="preserve"> ryšį tobulinti studijų programą.</w:t>
            </w:r>
            <w:r w:rsidR="00844F99">
              <w:rPr>
                <w:rFonts w:cs="Times New Roman"/>
              </w:rPr>
              <w:t xml:space="preserve"> </w:t>
            </w:r>
          </w:p>
        </w:tc>
        <w:tc>
          <w:tcPr>
            <w:tcW w:w="682" w:type="pct"/>
          </w:tcPr>
          <w:p w14:paraId="11B218AF" w14:textId="09FBEAD7" w:rsidR="00E023A3" w:rsidRPr="008E52F0" w:rsidRDefault="008E52F0" w:rsidP="00E023A3">
            <w:pPr>
              <w:jc w:val="center"/>
              <w:rPr>
                <w:rFonts w:cs="Times New Roman"/>
              </w:rPr>
            </w:pPr>
            <w:r>
              <w:rPr>
                <w:rFonts w:cs="Times New Roman"/>
              </w:rPr>
              <w:t xml:space="preserve">Iki </w:t>
            </w:r>
            <w:r w:rsidRPr="008E52F0">
              <w:rPr>
                <w:rFonts w:cs="Times New Roman"/>
              </w:rPr>
              <w:t xml:space="preserve">2023 m. </w:t>
            </w:r>
            <w:r>
              <w:rPr>
                <w:rFonts w:cs="Times New Roman"/>
              </w:rPr>
              <w:t xml:space="preserve">birželio </w:t>
            </w:r>
            <w:r w:rsidRPr="008E52F0">
              <w:rPr>
                <w:rFonts w:cs="Times New Roman"/>
              </w:rPr>
              <w:t xml:space="preserve">31 d. </w:t>
            </w:r>
          </w:p>
        </w:tc>
        <w:tc>
          <w:tcPr>
            <w:tcW w:w="778" w:type="pct"/>
          </w:tcPr>
          <w:p w14:paraId="78699EAE" w14:textId="2A491059" w:rsidR="00E023A3" w:rsidRPr="000F069E" w:rsidRDefault="008E52F0" w:rsidP="00E023A3">
            <w:pPr>
              <w:jc w:val="center"/>
              <w:rPr>
                <w:rFonts w:cs="Times New Roman"/>
              </w:rPr>
            </w:pPr>
            <w:r>
              <w:rPr>
                <w:rFonts w:cs="Times New Roman"/>
              </w:rPr>
              <w:t>Fakultetų SK, SPK, katedrų vedėjai, Studentų atstovybė</w:t>
            </w:r>
          </w:p>
        </w:tc>
        <w:tc>
          <w:tcPr>
            <w:tcW w:w="767" w:type="pct"/>
          </w:tcPr>
          <w:p w14:paraId="06F96064" w14:textId="77777777" w:rsidR="00E023A3" w:rsidRPr="000F069E" w:rsidRDefault="00E023A3" w:rsidP="00E023A3">
            <w:pPr>
              <w:jc w:val="center"/>
              <w:rPr>
                <w:rFonts w:cs="Times New Roman"/>
              </w:rPr>
            </w:pPr>
          </w:p>
        </w:tc>
      </w:tr>
      <w:tr w:rsidR="00E023A3" w:rsidRPr="000F069E" w14:paraId="2D1B2DE7" w14:textId="77777777" w:rsidTr="00CD4EB0">
        <w:tc>
          <w:tcPr>
            <w:tcW w:w="388" w:type="pct"/>
          </w:tcPr>
          <w:p w14:paraId="5D176C89" w14:textId="392405F5" w:rsidR="00E023A3" w:rsidRDefault="00E023A3" w:rsidP="00E023A3">
            <w:pPr>
              <w:jc w:val="center"/>
              <w:rPr>
                <w:rFonts w:cs="Times New Roman"/>
              </w:rPr>
            </w:pPr>
            <w:r>
              <w:rPr>
                <w:rFonts w:cs="Times New Roman"/>
              </w:rPr>
              <w:t>2.</w:t>
            </w:r>
          </w:p>
        </w:tc>
        <w:tc>
          <w:tcPr>
            <w:tcW w:w="1203" w:type="pct"/>
          </w:tcPr>
          <w:p w14:paraId="66ABAC71" w14:textId="2B782FAF" w:rsidR="00E023A3" w:rsidRPr="000F069E" w:rsidRDefault="00E023A3" w:rsidP="00E023A3">
            <w:pPr>
              <w:rPr>
                <w:rFonts w:cs="Times New Roman"/>
              </w:rPr>
            </w:pPr>
            <w:r w:rsidRPr="00C1500D">
              <w:rPr>
                <w:rFonts w:cs="Times New Roman"/>
              </w:rPr>
              <w:t xml:space="preserve">Peržiūrėti studijų procesą, kad būtų geriau suprastas studentų grupių gyvenimo būdas ir jaučiamas spaudimas derinant </w:t>
            </w:r>
            <w:r w:rsidRPr="00C1500D">
              <w:rPr>
                <w:rFonts w:cs="Times New Roman"/>
              </w:rPr>
              <w:lastRenderedPageBreak/>
              <w:t>darbą ir studijas, bei prie to prisitaikyta.</w:t>
            </w:r>
          </w:p>
        </w:tc>
        <w:tc>
          <w:tcPr>
            <w:tcW w:w="1182" w:type="pct"/>
          </w:tcPr>
          <w:p w14:paraId="630361BC" w14:textId="04A21211" w:rsidR="00E023A3" w:rsidRPr="008872D6" w:rsidRDefault="00C84B9F" w:rsidP="00A74B88">
            <w:pPr>
              <w:jc w:val="center"/>
              <w:rPr>
                <w:rFonts w:cs="Times New Roman"/>
              </w:rPr>
            </w:pPr>
            <w:r>
              <w:rPr>
                <w:rFonts w:cs="Times New Roman"/>
              </w:rPr>
              <w:lastRenderedPageBreak/>
              <w:t xml:space="preserve">Peržiūrėti studijų procesą, siekiant subalansuoti </w:t>
            </w:r>
            <w:r w:rsidR="00B2294C">
              <w:rPr>
                <w:rFonts w:cs="Times New Roman"/>
              </w:rPr>
              <w:t xml:space="preserve">studentų </w:t>
            </w:r>
            <w:r>
              <w:rPr>
                <w:rFonts w:cs="Times New Roman"/>
              </w:rPr>
              <w:t>darbo krūvį</w:t>
            </w:r>
            <w:r w:rsidR="00B2294C">
              <w:rPr>
                <w:rFonts w:cs="Times New Roman"/>
              </w:rPr>
              <w:t xml:space="preserve">, kad jis </w:t>
            </w:r>
            <w:r w:rsidR="00A74B88">
              <w:rPr>
                <w:rFonts w:cs="Times New Roman"/>
              </w:rPr>
              <w:t>tolygiai</w:t>
            </w:r>
            <w:r w:rsidR="00B2294C">
              <w:rPr>
                <w:rFonts w:cs="Times New Roman"/>
              </w:rPr>
              <w:t xml:space="preserve"> pasiskirstytų </w:t>
            </w:r>
            <w:r>
              <w:rPr>
                <w:rFonts w:cs="Times New Roman"/>
              </w:rPr>
              <w:t>akademinių metų eigoje.</w:t>
            </w:r>
          </w:p>
        </w:tc>
        <w:tc>
          <w:tcPr>
            <w:tcW w:w="682" w:type="pct"/>
          </w:tcPr>
          <w:p w14:paraId="13C95EB6" w14:textId="6AAB7EC7" w:rsidR="00E023A3" w:rsidRPr="000F069E" w:rsidRDefault="00C84B9F" w:rsidP="00E023A3">
            <w:pPr>
              <w:jc w:val="center"/>
              <w:rPr>
                <w:rFonts w:cs="Times New Roman"/>
              </w:rPr>
            </w:pPr>
            <w:r>
              <w:rPr>
                <w:rFonts w:cs="Times New Roman"/>
              </w:rPr>
              <w:t xml:space="preserve">Iki </w:t>
            </w:r>
            <w:r w:rsidRPr="008E52F0">
              <w:rPr>
                <w:rFonts w:cs="Times New Roman"/>
              </w:rPr>
              <w:t xml:space="preserve">2023 m. </w:t>
            </w:r>
            <w:r>
              <w:rPr>
                <w:rFonts w:cs="Times New Roman"/>
              </w:rPr>
              <w:t xml:space="preserve">birželio </w:t>
            </w:r>
            <w:r w:rsidRPr="008E52F0">
              <w:rPr>
                <w:rFonts w:cs="Times New Roman"/>
              </w:rPr>
              <w:t>31 d.</w:t>
            </w:r>
          </w:p>
        </w:tc>
        <w:tc>
          <w:tcPr>
            <w:tcW w:w="778" w:type="pct"/>
          </w:tcPr>
          <w:p w14:paraId="2F4337CC" w14:textId="583EDC65" w:rsidR="00E023A3" w:rsidRPr="000F069E" w:rsidRDefault="00C84B9F" w:rsidP="00C84B9F">
            <w:pPr>
              <w:jc w:val="center"/>
              <w:rPr>
                <w:rFonts w:cs="Times New Roman"/>
              </w:rPr>
            </w:pPr>
            <w:r>
              <w:rPr>
                <w:rFonts w:cs="Times New Roman"/>
              </w:rPr>
              <w:t>Fakultetų SK, SPK, katedrų vedėjai</w:t>
            </w:r>
          </w:p>
        </w:tc>
        <w:tc>
          <w:tcPr>
            <w:tcW w:w="767" w:type="pct"/>
          </w:tcPr>
          <w:p w14:paraId="40C0521E" w14:textId="77777777" w:rsidR="00E023A3" w:rsidRPr="000F069E" w:rsidRDefault="00E023A3" w:rsidP="00E023A3">
            <w:pPr>
              <w:jc w:val="center"/>
              <w:rPr>
                <w:rFonts w:cs="Times New Roman"/>
              </w:rPr>
            </w:pPr>
          </w:p>
        </w:tc>
      </w:tr>
      <w:tr w:rsidR="00E023A3" w:rsidRPr="000F069E" w14:paraId="4EF3BD8A" w14:textId="77777777" w:rsidTr="00CD4EB0">
        <w:tc>
          <w:tcPr>
            <w:tcW w:w="388" w:type="pct"/>
          </w:tcPr>
          <w:p w14:paraId="4081FF74" w14:textId="038DDAED" w:rsidR="00E023A3" w:rsidRDefault="00E023A3" w:rsidP="00E023A3">
            <w:pPr>
              <w:jc w:val="center"/>
              <w:rPr>
                <w:rFonts w:cs="Times New Roman"/>
              </w:rPr>
            </w:pPr>
            <w:r>
              <w:rPr>
                <w:rFonts w:cs="Times New Roman"/>
              </w:rPr>
              <w:t>3.</w:t>
            </w:r>
          </w:p>
        </w:tc>
        <w:tc>
          <w:tcPr>
            <w:tcW w:w="1203" w:type="pct"/>
          </w:tcPr>
          <w:p w14:paraId="5631D53D" w14:textId="78A2B94F" w:rsidR="00E023A3" w:rsidRPr="000F069E" w:rsidRDefault="00E023A3" w:rsidP="00E023A3">
            <w:pPr>
              <w:rPr>
                <w:rFonts w:cs="Times New Roman"/>
              </w:rPr>
            </w:pPr>
            <w:r w:rsidRPr="00C1500D">
              <w:rPr>
                <w:rFonts w:cs="Times New Roman"/>
              </w:rPr>
              <w:t>Apsvarstyti galimybę plėtoti hibridinius studijų būdus ir mišraus mokymosi koncepcijas, taikant lankstesnius lankomumo ir vertinimo metodus.</w:t>
            </w:r>
          </w:p>
        </w:tc>
        <w:tc>
          <w:tcPr>
            <w:tcW w:w="1182" w:type="pct"/>
          </w:tcPr>
          <w:p w14:paraId="25194268" w14:textId="11FEC285" w:rsidR="00E023A3" w:rsidRPr="00A74B88" w:rsidRDefault="00CD0365" w:rsidP="00E023A3">
            <w:pPr>
              <w:jc w:val="center"/>
              <w:rPr>
                <w:rFonts w:cs="Times New Roman"/>
              </w:rPr>
            </w:pPr>
            <w:r w:rsidRPr="00A74B88">
              <w:rPr>
                <w:rFonts w:cs="Times New Roman"/>
              </w:rPr>
              <w:t>Rekomendacija dalinai įgyvendinta. Nuo 202</w:t>
            </w:r>
            <w:r w:rsidRPr="00A74B88">
              <w:rPr>
                <w:rFonts w:cs="Times New Roman"/>
                <w:lang w:val="en-GB"/>
              </w:rPr>
              <w:t>2</w:t>
            </w:r>
            <w:r w:rsidRPr="00A74B88">
              <w:rPr>
                <w:rFonts w:cs="Times New Roman"/>
              </w:rPr>
              <w:t xml:space="preserve"> m. rugsėjo mėn. II pakopos studijos vykdomos hibridiniu būdu.</w:t>
            </w:r>
          </w:p>
          <w:p w14:paraId="75792A2D" w14:textId="679EA05E" w:rsidR="00CD0365" w:rsidRPr="00A74B88" w:rsidRDefault="00CD0365" w:rsidP="00E023A3">
            <w:pPr>
              <w:jc w:val="center"/>
              <w:rPr>
                <w:rFonts w:cs="Times New Roman"/>
              </w:rPr>
            </w:pPr>
            <w:r w:rsidRPr="00A74B88">
              <w:rPr>
                <w:rFonts w:cs="Times New Roman"/>
              </w:rPr>
              <w:t>T</w:t>
            </w:r>
            <w:r w:rsidR="00A74B88" w:rsidRPr="00A74B88">
              <w:rPr>
                <w:rFonts w:cs="Times New Roman"/>
              </w:rPr>
              <w:t>ei</w:t>
            </w:r>
            <w:r w:rsidRPr="00A74B88">
              <w:rPr>
                <w:rFonts w:cs="Times New Roman"/>
              </w:rPr>
              <w:t>kti pasiūlymą universiteto SK dėl Hibridinių studijų I pakopos studijų programose.</w:t>
            </w:r>
          </w:p>
          <w:p w14:paraId="50CE65AB" w14:textId="72A7A95D" w:rsidR="00CD0365" w:rsidRPr="00CD0365" w:rsidRDefault="00CD0365" w:rsidP="00E023A3">
            <w:pPr>
              <w:jc w:val="center"/>
              <w:rPr>
                <w:rFonts w:cs="Times New Roman"/>
                <w:color w:val="1F3864" w:themeColor="accent5" w:themeShade="80"/>
              </w:rPr>
            </w:pPr>
          </w:p>
        </w:tc>
        <w:tc>
          <w:tcPr>
            <w:tcW w:w="682" w:type="pct"/>
          </w:tcPr>
          <w:p w14:paraId="191F292A" w14:textId="627A3E3E" w:rsidR="00E023A3" w:rsidRPr="000F069E" w:rsidRDefault="00A74B88" w:rsidP="00E023A3">
            <w:pPr>
              <w:jc w:val="center"/>
              <w:rPr>
                <w:rFonts w:cs="Times New Roman"/>
              </w:rPr>
            </w:pPr>
            <w:r>
              <w:rPr>
                <w:rFonts w:cs="Times New Roman"/>
              </w:rPr>
              <w:t>Iki 2023 m. gruodžio 23</w:t>
            </w:r>
            <w:r w:rsidRPr="00D9157C">
              <w:rPr>
                <w:rFonts w:cs="Times New Roman"/>
              </w:rPr>
              <w:t xml:space="preserve"> d.</w:t>
            </w:r>
          </w:p>
        </w:tc>
        <w:tc>
          <w:tcPr>
            <w:tcW w:w="778" w:type="pct"/>
          </w:tcPr>
          <w:p w14:paraId="5B7AF424" w14:textId="252719D7" w:rsidR="00E023A3" w:rsidRPr="000F069E" w:rsidRDefault="00A74B88" w:rsidP="00E023A3">
            <w:pPr>
              <w:jc w:val="center"/>
              <w:rPr>
                <w:rFonts w:cs="Times New Roman"/>
              </w:rPr>
            </w:pPr>
            <w:r>
              <w:rPr>
                <w:rFonts w:cs="Times New Roman"/>
              </w:rPr>
              <w:t>Studijų prodekanai</w:t>
            </w:r>
          </w:p>
        </w:tc>
        <w:tc>
          <w:tcPr>
            <w:tcW w:w="767" w:type="pct"/>
          </w:tcPr>
          <w:p w14:paraId="16F4F8A6" w14:textId="77777777" w:rsidR="00E023A3" w:rsidRPr="000F069E" w:rsidRDefault="00E023A3" w:rsidP="00E023A3">
            <w:pPr>
              <w:jc w:val="center"/>
              <w:rPr>
                <w:rFonts w:cs="Times New Roman"/>
              </w:rPr>
            </w:pPr>
          </w:p>
        </w:tc>
      </w:tr>
      <w:tr w:rsidR="00E023A3" w:rsidRPr="000F069E" w14:paraId="115D45E1" w14:textId="77777777" w:rsidTr="00CD4EB0">
        <w:tc>
          <w:tcPr>
            <w:tcW w:w="388" w:type="pct"/>
          </w:tcPr>
          <w:p w14:paraId="648BAB90" w14:textId="4E39FD0A" w:rsidR="00E023A3" w:rsidRDefault="00E023A3" w:rsidP="00E023A3">
            <w:pPr>
              <w:jc w:val="center"/>
              <w:rPr>
                <w:rFonts w:cs="Times New Roman"/>
              </w:rPr>
            </w:pPr>
            <w:r>
              <w:rPr>
                <w:rFonts w:cs="Times New Roman"/>
              </w:rPr>
              <w:t>4.</w:t>
            </w:r>
          </w:p>
        </w:tc>
        <w:tc>
          <w:tcPr>
            <w:tcW w:w="1203" w:type="pct"/>
          </w:tcPr>
          <w:p w14:paraId="5D4193BE" w14:textId="0C17B66E" w:rsidR="00E023A3" w:rsidRPr="000F069E" w:rsidRDefault="00E023A3" w:rsidP="00E023A3">
            <w:pPr>
              <w:rPr>
                <w:rFonts w:cs="Times New Roman"/>
              </w:rPr>
            </w:pPr>
            <w:r w:rsidRPr="00C1500D">
              <w:rPr>
                <w:rFonts w:cs="Times New Roman"/>
              </w:rPr>
              <w:t>Plėtoti ilgesnį absolventų įsidarbinimo stebėjimo metodą, kad būtų galima geriau suprasti, kodėl didelė dalis studentų 12 mėnesių po studijų baigimo dirba žemos kvalifikacijos reikalaujančius darbus.</w:t>
            </w:r>
          </w:p>
        </w:tc>
        <w:tc>
          <w:tcPr>
            <w:tcW w:w="1182" w:type="pct"/>
          </w:tcPr>
          <w:p w14:paraId="788F75E8" w14:textId="77777777" w:rsidR="00E023A3" w:rsidRPr="00A74B88" w:rsidRDefault="00A81AB6" w:rsidP="00E023A3">
            <w:pPr>
              <w:jc w:val="center"/>
              <w:rPr>
                <w:rFonts w:cs="Times New Roman"/>
              </w:rPr>
            </w:pPr>
            <w:r w:rsidRPr="00A74B88">
              <w:rPr>
                <w:rFonts w:cs="Times New Roman"/>
              </w:rPr>
              <w:t>Fakultetuose atliekamos absolventų apklausos atskleidžia šiai rekomendacijai prieštaraujančius rezultatus.</w:t>
            </w:r>
          </w:p>
          <w:p w14:paraId="37CDD776" w14:textId="352B6E2D" w:rsidR="00A81AB6" w:rsidRPr="000F069E" w:rsidRDefault="00A81AB6" w:rsidP="00A81AB6">
            <w:pPr>
              <w:jc w:val="center"/>
              <w:rPr>
                <w:rFonts w:cs="Times New Roman"/>
              </w:rPr>
            </w:pPr>
            <w:r w:rsidRPr="00A74B88">
              <w:rPr>
                <w:rFonts w:cs="Times New Roman"/>
              </w:rPr>
              <w:t>Toliau tęsti absolventų įsidarbinimo stebėseną.</w:t>
            </w:r>
          </w:p>
        </w:tc>
        <w:tc>
          <w:tcPr>
            <w:tcW w:w="682" w:type="pct"/>
          </w:tcPr>
          <w:p w14:paraId="6ECF91DF" w14:textId="1A595DF8" w:rsidR="00E023A3" w:rsidRPr="000F069E" w:rsidRDefault="00A74B88" w:rsidP="00E023A3">
            <w:pPr>
              <w:jc w:val="center"/>
              <w:rPr>
                <w:rFonts w:cs="Times New Roman"/>
              </w:rPr>
            </w:pPr>
            <w:r>
              <w:rPr>
                <w:rFonts w:cs="Times New Roman"/>
              </w:rPr>
              <w:t>Nuolat</w:t>
            </w:r>
          </w:p>
        </w:tc>
        <w:tc>
          <w:tcPr>
            <w:tcW w:w="778" w:type="pct"/>
          </w:tcPr>
          <w:p w14:paraId="2C1C0735" w14:textId="73745BF7" w:rsidR="00E023A3" w:rsidRPr="000F069E" w:rsidRDefault="00A81AB6" w:rsidP="00E023A3">
            <w:pPr>
              <w:jc w:val="center"/>
              <w:rPr>
                <w:rFonts w:cs="Times New Roman"/>
              </w:rPr>
            </w:pPr>
            <w:r>
              <w:rPr>
                <w:rFonts w:cs="Times New Roman"/>
              </w:rPr>
              <w:t>SPK</w:t>
            </w:r>
            <w:r w:rsidR="001C3206">
              <w:rPr>
                <w:rFonts w:cs="Times New Roman"/>
              </w:rPr>
              <w:t xml:space="preserve">, Prodekanas atsakingas už veiklas su </w:t>
            </w:r>
            <w:proofErr w:type="spellStart"/>
            <w:r w:rsidR="001C3206">
              <w:rPr>
                <w:rFonts w:cs="Times New Roman"/>
              </w:rPr>
              <w:t>Alumni</w:t>
            </w:r>
            <w:proofErr w:type="spellEnd"/>
            <w:r w:rsidR="001C3206">
              <w:rPr>
                <w:rFonts w:cs="Times New Roman"/>
              </w:rPr>
              <w:t xml:space="preserve"> ir socialiniais partneriais</w:t>
            </w:r>
          </w:p>
        </w:tc>
        <w:tc>
          <w:tcPr>
            <w:tcW w:w="767" w:type="pct"/>
          </w:tcPr>
          <w:p w14:paraId="4A4D4502" w14:textId="77777777" w:rsidR="00E023A3" w:rsidRPr="000F069E" w:rsidRDefault="00E023A3" w:rsidP="00E023A3">
            <w:pPr>
              <w:jc w:val="center"/>
              <w:rPr>
                <w:rFonts w:cs="Times New Roman"/>
              </w:rPr>
            </w:pPr>
          </w:p>
        </w:tc>
      </w:tr>
      <w:tr w:rsidR="00E023A3" w:rsidRPr="000F069E" w14:paraId="10D302B9" w14:textId="77777777" w:rsidTr="002E18B9">
        <w:tc>
          <w:tcPr>
            <w:tcW w:w="5000" w:type="pct"/>
            <w:gridSpan w:val="6"/>
          </w:tcPr>
          <w:p w14:paraId="056F105A" w14:textId="2CFDECD9" w:rsidR="00E023A3" w:rsidRPr="000F069E" w:rsidRDefault="00E023A3" w:rsidP="00E023A3">
            <w:pPr>
              <w:jc w:val="center"/>
              <w:rPr>
                <w:rFonts w:cs="Times New Roman"/>
              </w:rPr>
            </w:pPr>
            <w:r w:rsidRPr="00FB386B">
              <w:rPr>
                <w:rFonts w:cs="Times New Roman"/>
                <w:b/>
                <w:bCs/>
              </w:rPr>
              <w:t>Dėstytojai</w:t>
            </w:r>
          </w:p>
        </w:tc>
      </w:tr>
      <w:tr w:rsidR="00E023A3" w:rsidRPr="000F069E" w14:paraId="2EE8F13B" w14:textId="77777777" w:rsidTr="00CD4EB0">
        <w:tc>
          <w:tcPr>
            <w:tcW w:w="388" w:type="pct"/>
          </w:tcPr>
          <w:p w14:paraId="78FA5CCE" w14:textId="6F27E72D" w:rsidR="00E023A3" w:rsidRDefault="00E023A3" w:rsidP="00E023A3">
            <w:pPr>
              <w:jc w:val="center"/>
              <w:rPr>
                <w:rFonts w:cs="Times New Roman"/>
              </w:rPr>
            </w:pPr>
            <w:r>
              <w:rPr>
                <w:rFonts w:cs="Times New Roman"/>
              </w:rPr>
              <w:t>1.</w:t>
            </w:r>
          </w:p>
        </w:tc>
        <w:tc>
          <w:tcPr>
            <w:tcW w:w="1203" w:type="pct"/>
          </w:tcPr>
          <w:p w14:paraId="37C733F6" w14:textId="6FBD288F" w:rsidR="00E023A3" w:rsidRPr="000F069E" w:rsidRDefault="00E023A3" w:rsidP="00E023A3">
            <w:pPr>
              <w:rPr>
                <w:rFonts w:cs="Times New Roman"/>
              </w:rPr>
            </w:pPr>
            <w:r w:rsidRPr="00C1500D">
              <w:rPr>
                <w:rFonts w:cs="Times New Roman"/>
              </w:rPr>
              <w:t>Derėtų spręsti klausimą dėl akivaizdžiai riboto analitinių priemonių naudojimo verslo tyrimuose.</w:t>
            </w:r>
          </w:p>
        </w:tc>
        <w:tc>
          <w:tcPr>
            <w:tcW w:w="1182" w:type="pct"/>
          </w:tcPr>
          <w:p w14:paraId="70213836" w14:textId="33DCABC1" w:rsidR="00E023A3" w:rsidRPr="000F069E" w:rsidRDefault="00663830" w:rsidP="006A3DAA">
            <w:pPr>
              <w:jc w:val="center"/>
              <w:rPr>
                <w:rFonts w:cs="Times New Roman"/>
              </w:rPr>
            </w:pPr>
            <w:r w:rsidRPr="006A3DAA">
              <w:rPr>
                <w:rFonts w:cs="Times New Roman"/>
              </w:rPr>
              <w:t xml:space="preserve">Tobulinti fakulteto infrastruktūrą, suteikiant </w:t>
            </w:r>
            <w:r w:rsidR="006A3DAA" w:rsidRPr="006A3DAA">
              <w:rPr>
                <w:rFonts w:cs="Times New Roman"/>
              </w:rPr>
              <w:t xml:space="preserve">dar didesnę </w:t>
            </w:r>
            <w:r w:rsidRPr="006A3DAA">
              <w:rPr>
                <w:rFonts w:cs="Times New Roman"/>
              </w:rPr>
              <w:t>galimybę pasinaudoti šiuolaikinėmis IT technologijomis ir analitinėmis priemonėmis.</w:t>
            </w:r>
          </w:p>
        </w:tc>
        <w:tc>
          <w:tcPr>
            <w:tcW w:w="682" w:type="pct"/>
          </w:tcPr>
          <w:p w14:paraId="45765346" w14:textId="0C2E65DC" w:rsidR="00E023A3" w:rsidRPr="00663830" w:rsidRDefault="00663830" w:rsidP="00E023A3">
            <w:pPr>
              <w:jc w:val="center"/>
              <w:rPr>
                <w:rFonts w:cs="Times New Roman"/>
              </w:rPr>
            </w:pPr>
            <w:r>
              <w:rPr>
                <w:rFonts w:cs="Times New Roman"/>
              </w:rPr>
              <w:t xml:space="preserve">Iki </w:t>
            </w:r>
            <w:r w:rsidRPr="00663830">
              <w:rPr>
                <w:rFonts w:cs="Times New Roman"/>
              </w:rPr>
              <w:t>2024 bir</w:t>
            </w:r>
            <w:r>
              <w:rPr>
                <w:rFonts w:cs="Times New Roman"/>
              </w:rPr>
              <w:t xml:space="preserve">želio </w:t>
            </w:r>
            <w:r w:rsidRPr="00663830">
              <w:rPr>
                <w:rFonts w:cs="Times New Roman"/>
              </w:rPr>
              <w:t xml:space="preserve">31 d. </w:t>
            </w:r>
          </w:p>
        </w:tc>
        <w:tc>
          <w:tcPr>
            <w:tcW w:w="778" w:type="pct"/>
          </w:tcPr>
          <w:p w14:paraId="67656E62" w14:textId="4536F9A1" w:rsidR="00E023A3" w:rsidRPr="000F069E" w:rsidRDefault="00663830" w:rsidP="00E023A3">
            <w:pPr>
              <w:jc w:val="center"/>
              <w:rPr>
                <w:rFonts w:cs="Times New Roman"/>
              </w:rPr>
            </w:pPr>
            <w:r>
              <w:rPr>
                <w:rFonts w:cs="Times New Roman"/>
              </w:rPr>
              <w:t>Dekanas, Kancleris, IT skyrius</w:t>
            </w:r>
          </w:p>
        </w:tc>
        <w:tc>
          <w:tcPr>
            <w:tcW w:w="767" w:type="pct"/>
          </w:tcPr>
          <w:p w14:paraId="39488A28" w14:textId="4152ACBC" w:rsidR="00E023A3" w:rsidRPr="000F069E" w:rsidRDefault="006A3DAA" w:rsidP="006A3DAA">
            <w:pPr>
              <w:rPr>
                <w:rFonts w:cs="Times New Roman"/>
              </w:rPr>
            </w:pPr>
            <w:r>
              <w:rPr>
                <w:rFonts w:cs="Times New Roman"/>
              </w:rPr>
              <w:t>Peržiūra atlikta, užsakymai pateikti</w:t>
            </w:r>
          </w:p>
        </w:tc>
      </w:tr>
      <w:tr w:rsidR="00E023A3" w:rsidRPr="000F069E" w14:paraId="4B14666D" w14:textId="77777777" w:rsidTr="00CD4EB0">
        <w:tc>
          <w:tcPr>
            <w:tcW w:w="388" w:type="pct"/>
          </w:tcPr>
          <w:p w14:paraId="132966FE" w14:textId="727B8DE6" w:rsidR="00E023A3" w:rsidRDefault="00E023A3" w:rsidP="00E023A3">
            <w:pPr>
              <w:jc w:val="center"/>
              <w:rPr>
                <w:rFonts w:cs="Times New Roman"/>
              </w:rPr>
            </w:pPr>
            <w:r>
              <w:rPr>
                <w:rFonts w:cs="Times New Roman"/>
              </w:rPr>
              <w:t>2.</w:t>
            </w:r>
          </w:p>
        </w:tc>
        <w:tc>
          <w:tcPr>
            <w:tcW w:w="1203" w:type="pct"/>
          </w:tcPr>
          <w:p w14:paraId="3660D86B" w14:textId="6192C877" w:rsidR="00E023A3" w:rsidRPr="000F069E" w:rsidRDefault="00E023A3" w:rsidP="00E023A3">
            <w:pPr>
              <w:rPr>
                <w:rFonts w:cs="Times New Roman"/>
              </w:rPr>
            </w:pPr>
            <w:r w:rsidRPr="00C1500D">
              <w:rPr>
                <w:rFonts w:cs="Times New Roman"/>
              </w:rPr>
              <w:t>Mokslinių tyrimų ir tarptautinio mobilumo ryšys turėtų tapti mokslinių tyrimų projektų ir veiklos dėmesio centru.</w:t>
            </w:r>
          </w:p>
        </w:tc>
        <w:tc>
          <w:tcPr>
            <w:tcW w:w="1182" w:type="pct"/>
          </w:tcPr>
          <w:p w14:paraId="3C5B58EA" w14:textId="16D47840" w:rsidR="00E023A3" w:rsidRPr="006A3DAA" w:rsidRDefault="009461D4" w:rsidP="00E023A3">
            <w:pPr>
              <w:jc w:val="center"/>
              <w:rPr>
                <w:rFonts w:cs="Times New Roman"/>
              </w:rPr>
            </w:pPr>
            <w:r w:rsidRPr="006A3DAA">
              <w:rPr>
                <w:rFonts w:cs="Times New Roman"/>
              </w:rPr>
              <w:t>Tęsti mokslinių tyrimų veiklas, ryšiams užmegzti pasitelkiant mobilumo programų suteikiamas galimybes</w:t>
            </w:r>
          </w:p>
        </w:tc>
        <w:tc>
          <w:tcPr>
            <w:tcW w:w="682" w:type="pct"/>
          </w:tcPr>
          <w:p w14:paraId="176ECCE5" w14:textId="357D2AB3" w:rsidR="00E023A3" w:rsidRPr="000F069E" w:rsidRDefault="009461D4" w:rsidP="00E023A3">
            <w:pPr>
              <w:jc w:val="center"/>
              <w:rPr>
                <w:rFonts w:cs="Times New Roman"/>
              </w:rPr>
            </w:pPr>
            <w:r>
              <w:rPr>
                <w:rFonts w:cs="Times New Roman"/>
              </w:rPr>
              <w:t>Nuolat</w:t>
            </w:r>
          </w:p>
        </w:tc>
        <w:tc>
          <w:tcPr>
            <w:tcW w:w="778" w:type="pct"/>
          </w:tcPr>
          <w:p w14:paraId="10B73666" w14:textId="140396CC" w:rsidR="00E023A3" w:rsidRPr="000F069E" w:rsidRDefault="009461D4" w:rsidP="00E023A3">
            <w:pPr>
              <w:jc w:val="center"/>
              <w:rPr>
                <w:rFonts w:cs="Times New Roman"/>
              </w:rPr>
            </w:pPr>
            <w:r>
              <w:rPr>
                <w:rFonts w:cs="Times New Roman"/>
              </w:rPr>
              <w:t>Tarptautinių ryšių ir mokslo prodekanai</w:t>
            </w:r>
          </w:p>
        </w:tc>
        <w:tc>
          <w:tcPr>
            <w:tcW w:w="767" w:type="pct"/>
          </w:tcPr>
          <w:p w14:paraId="5FAEAC49" w14:textId="77777777" w:rsidR="00E023A3" w:rsidRPr="000F069E" w:rsidRDefault="00E023A3" w:rsidP="00E023A3">
            <w:pPr>
              <w:jc w:val="center"/>
              <w:rPr>
                <w:rFonts w:cs="Times New Roman"/>
              </w:rPr>
            </w:pPr>
          </w:p>
        </w:tc>
      </w:tr>
      <w:tr w:rsidR="00E023A3" w:rsidRPr="000F069E" w14:paraId="637FDA5C" w14:textId="77777777" w:rsidTr="00CD4EB0">
        <w:tc>
          <w:tcPr>
            <w:tcW w:w="388" w:type="pct"/>
          </w:tcPr>
          <w:p w14:paraId="3BC2FAAA" w14:textId="51559504" w:rsidR="00E023A3" w:rsidRDefault="00E023A3" w:rsidP="00E023A3">
            <w:pPr>
              <w:jc w:val="center"/>
              <w:rPr>
                <w:rFonts w:cs="Times New Roman"/>
              </w:rPr>
            </w:pPr>
            <w:r>
              <w:rPr>
                <w:rFonts w:cs="Times New Roman"/>
              </w:rPr>
              <w:t>3.</w:t>
            </w:r>
          </w:p>
        </w:tc>
        <w:tc>
          <w:tcPr>
            <w:tcW w:w="1203" w:type="pct"/>
          </w:tcPr>
          <w:p w14:paraId="4217169D" w14:textId="5B18442E" w:rsidR="00E023A3" w:rsidRPr="000F069E" w:rsidRDefault="00E023A3" w:rsidP="00E023A3">
            <w:pPr>
              <w:rPr>
                <w:rFonts w:cs="Times New Roman"/>
              </w:rPr>
            </w:pPr>
            <w:r w:rsidRPr="00C1500D">
              <w:rPr>
                <w:rFonts w:cs="Times New Roman"/>
              </w:rPr>
              <w:t>Reikėtų stengtis išlaikyti nuolatinį mokslinių tyrimų darbuotojų profesinį tobulėjimą, siekiant atnaujinti ir pagerinti jų mokslinių tyrimų įgūdžius.</w:t>
            </w:r>
          </w:p>
        </w:tc>
        <w:tc>
          <w:tcPr>
            <w:tcW w:w="1182" w:type="pct"/>
          </w:tcPr>
          <w:p w14:paraId="0ACB4A1F" w14:textId="2BFD8C3E" w:rsidR="00E023A3" w:rsidRPr="00461EBC" w:rsidRDefault="002C639A" w:rsidP="002C639A">
            <w:pPr>
              <w:jc w:val="center"/>
              <w:rPr>
                <w:rFonts w:cs="Times New Roman"/>
                <w:color w:val="1F3864" w:themeColor="accent5" w:themeShade="80"/>
              </w:rPr>
            </w:pPr>
            <w:r w:rsidRPr="006A3DAA">
              <w:rPr>
                <w:rFonts w:cs="Times New Roman"/>
              </w:rPr>
              <w:t>Skatinti darbuotojų kvalifikacijos kėlimą, pasinaudojant universiteto suteikiamomis galimybėmis.</w:t>
            </w:r>
          </w:p>
        </w:tc>
        <w:tc>
          <w:tcPr>
            <w:tcW w:w="682" w:type="pct"/>
          </w:tcPr>
          <w:p w14:paraId="33E74CDF" w14:textId="7523B98D" w:rsidR="00E023A3" w:rsidRPr="000F069E" w:rsidRDefault="002C639A" w:rsidP="00E023A3">
            <w:pPr>
              <w:jc w:val="center"/>
              <w:rPr>
                <w:rFonts w:cs="Times New Roman"/>
              </w:rPr>
            </w:pPr>
            <w:r>
              <w:rPr>
                <w:rFonts w:cs="Times New Roman"/>
              </w:rPr>
              <w:t>Nuolat</w:t>
            </w:r>
          </w:p>
        </w:tc>
        <w:tc>
          <w:tcPr>
            <w:tcW w:w="778" w:type="pct"/>
          </w:tcPr>
          <w:p w14:paraId="4B7CD709" w14:textId="0909702A" w:rsidR="00E023A3" w:rsidRPr="000F069E" w:rsidRDefault="002C639A" w:rsidP="00E023A3">
            <w:pPr>
              <w:jc w:val="center"/>
              <w:rPr>
                <w:rFonts w:cs="Times New Roman"/>
              </w:rPr>
            </w:pPr>
            <w:r>
              <w:rPr>
                <w:rFonts w:cs="Times New Roman"/>
              </w:rPr>
              <w:t>Katedrų vedėjai, darbuotojai, Akademinės paramos centras</w:t>
            </w:r>
          </w:p>
        </w:tc>
        <w:tc>
          <w:tcPr>
            <w:tcW w:w="767" w:type="pct"/>
          </w:tcPr>
          <w:p w14:paraId="0F524DD0" w14:textId="77777777" w:rsidR="00E023A3" w:rsidRPr="000F069E" w:rsidRDefault="00E023A3" w:rsidP="00E023A3">
            <w:pPr>
              <w:jc w:val="center"/>
              <w:rPr>
                <w:rFonts w:cs="Times New Roman"/>
              </w:rPr>
            </w:pPr>
          </w:p>
        </w:tc>
      </w:tr>
      <w:tr w:rsidR="00E023A3" w:rsidRPr="000F069E" w14:paraId="2FDF4269" w14:textId="77777777" w:rsidTr="00CD4EB0">
        <w:tc>
          <w:tcPr>
            <w:tcW w:w="388" w:type="pct"/>
          </w:tcPr>
          <w:p w14:paraId="4725F1EC" w14:textId="274ACFDF" w:rsidR="00E023A3" w:rsidRDefault="00E023A3" w:rsidP="00E023A3">
            <w:pPr>
              <w:jc w:val="center"/>
              <w:rPr>
                <w:rFonts w:cs="Times New Roman"/>
              </w:rPr>
            </w:pPr>
            <w:r>
              <w:rPr>
                <w:rFonts w:cs="Times New Roman"/>
              </w:rPr>
              <w:lastRenderedPageBreak/>
              <w:t>4.</w:t>
            </w:r>
          </w:p>
        </w:tc>
        <w:tc>
          <w:tcPr>
            <w:tcW w:w="1203" w:type="pct"/>
          </w:tcPr>
          <w:p w14:paraId="15BEC061" w14:textId="04DA978F" w:rsidR="00E023A3" w:rsidRPr="006A3DAA" w:rsidRDefault="006A3DAA" w:rsidP="00E023A3">
            <w:pPr>
              <w:rPr>
                <w:rFonts w:cs="Times New Roman"/>
              </w:rPr>
            </w:pPr>
            <w:r w:rsidRPr="006A3DAA">
              <w:rPr>
                <w:rFonts w:cs="Times New Roman"/>
              </w:rPr>
              <w:t>Reikėtų toliau analizuoti galimybe</w:t>
            </w:r>
            <w:r w:rsidR="00E023A3" w:rsidRPr="006A3DAA">
              <w:rPr>
                <w:rFonts w:cs="Times New Roman"/>
              </w:rPr>
              <w:t>s sudaryti mokslinių tyrimų sutartis su socialiniais partneriais, siekiant užtikrinti didesnę sinergiją ir pademonstruoti mokslinių tyrimų vertę socialiniams partneriams.</w:t>
            </w:r>
          </w:p>
        </w:tc>
        <w:tc>
          <w:tcPr>
            <w:tcW w:w="1182" w:type="pct"/>
          </w:tcPr>
          <w:p w14:paraId="51E71451" w14:textId="7C77799A" w:rsidR="00E023A3" w:rsidRPr="006A3DAA" w:rsidRDefault="00A366C8" w:rsidP="00A366C8">
            <w:pPr>
              <w:jc w:val="center"/>
              <w:rPr>
                <w:rFonts w:cs="Times New Roman"/>
              </w:rPr>
            </w:pPr>
            <w:r w:rsidRPr="006A3DAA">
              <w:rPr>
                <w:rFonts w:cs="Times New Roman"/>
              </w:rPr>
              <w:t xml:space="preserve">Skatinti darbuotojus vykti  ne tik į užsienio universitetus, bet ir užsienio įmones, bendradarbiauti plėtojant mokslinius tyrimus aktualius verslui. </w:t>
            </w:r>
          </w:p>
        </w:tc>
        <w:tc>
          <w:tcPr>
            <w:tcW w:w="682" w:type="pct"/>
          </w:tcPr>
          <w:p w14:paraId="2903416B" w14:textId="78BDEBB9" w:rsidR="00E023A3" w:rsidRPr="000F069E" w:rsidRDefault="00103781" w:rsidP="00E023A3">
            <w:pPr>
              <w:jc w:val="center"/>
              <w:rPr>
                <w:rFonts w:cs="Times New Roman"/>
              </w:rPr>
            </w:pPr>
            <w:r>
              <w:rPr>
                <w:rFonts w:cs="Times New Roman"/>
              </w:rPr>
              <w:t>Nuolat</w:t>
            </w:r>
          </w:p>
        </w:tc>
        <w:tc>
          <w:tcPr>
            <w:tcW w:w="778" w:type="pct"/>
          </w:tcPr>
          <w:p w14:paraId="7CF15F1D" w14:textId="27EE9EB2" w:rsidR="00E023A3" w:rsidRPr="000F069E" w:rsidRDefault="006A3DAA" w:rsidP="006A3DAA">
            <w:pPr>
              <w:jc w:val="center"/>
              <w:rPr>
                <w:rFonts w:cs="Times New Roman"/>
              </w:rPr>
            </w:pPr>
            <w:r>
              <w:rPr>
                <w:rFonts w:cs="Times New Roman"/>
              </w:rPr>
              <w:t>Tarptautinių ryšių ir mokslo prodekanai, katedrų vedėjai</w:t>
            </w:r>
          </w:p>
        </w:tc>
        <w:tc>
          <w:tcPr>
            <w:tcW w:w="767" w:type="pct"/>
          </w:tcPr>
          <w:p w14:paraId="52DAD30C" w14:textId="77777777" w:rsidR="00E023A3" w:rsidRPr="000F069E" w:rsidRDefault="00E023A3" w:rsidP="00E023A3">
            <w:pPr>
              <w:jc w:val="center"/>
              <w:rPr>
                <w:rFonts w:cs="Times New Roman"/>
              </w:rPr>
            </w:pPr>
          </w:p>
        </w:tc>
      </w:tr>
      <w:tr w:rsidR="00E023A3" w:rsidRPr="000F069E" w14:paraId="0C3DF375" w14:textId="77777777" w:rsidTr="002E18B9">
        <w:tc>
          <w:tcPr>
            <w:tcW w:w="5000" w:type="pct"/>
            <w:gridSpan w:val="6"/>
          </w:tcPr>
          <w:p w14:paraId="21170C42" w14:textId="0AAA3302" w:rsidR="00E023A3" w:rsidRPr="000F069E" w:rsidRDefault="00E023A3" w:rsidP="00E023A3">
            <w:pPr>
              <w:jc w:val="center"/>
              <w:rPr>
                <w:rFonts w:cs="Times New Roman"/>
              </w:rPr>
            </w:pPr>
            <w:r w:rsidRPr="00FB386B">
              <w:rPr>
                <w:rFonts w:cs="Times New Roman"/>
                <w:b/>
                <w:bCs/>
              </w:rPr>
              <w:t>Studijų materialieji ištekliai</w:t>
            </w:r>
          </w:p>
        </w:tc>
      </w:tr>
      <w:tr w:rsidR="00E023A3" w:rsidRPr="000F069E" w14:paraId="096971F4" w14:textId="77777777" w:rsidTr="00CD4EB0">
        <w:tc>
          <w:tcPr>
            <w:tcW w:w="388" w:type="pct"/>
          </w:tcPr>
          <w:p w14:paraId="489A3ECA" w14:textId="481FDA66" w:rsidR="00E023A3" w:rsidRDefault="00E023A3" w:rsidP="00E023A3">
            <w:pPr>
              <w:jc w:val="center"/>
              <w:rPr>
                <w:rFonts w:cs="Times New Roman"/>
              </w:rPr>
            </w:pPr>
            <w:r>
              <w:rPr>
                <w:rFonts w:cs="Times New Roman"/>
              </w:rPr>
              <w:t>1.</w:t>
            </w:r>
          </w:p>
        </w:tc>
        <w:tc>
          <w:tcPr>
            <w:tcW w:w="1203" w:type="pct"/>
          </w:tcPr>
          <w:p w14:paraId="60679795" w14:textId="091B165D" w:rsidR="00E023A3" w:rsidRPr="000F069E" w:rsidRDefault="00E023A3" w:rsidP="00E023A3">
            <w:pPr>
              <w:rPr>
                <w:rFonts w:cs="Times New Roman"/>
              </w:rPr>
            </w:pPr>
            <w:r w:rsidRPr="00C1500D">
              <w:rPr>
                <w:rFonts w:cs="Times New Roman"/>
              </w:rPr>
              <w:t>Turėtų būti laikomasi tinkamų materialiųjų išteklių standartų, tai leidžiant vykti studijų krypties plėtrai.</w:t>
            </w:r>
          </w:p>
        </w:tc>
        <w:tc>
          <w:tcPr>
            <w:tcW w:w="1182" w:type="pct"/>
          </w:tcPr>
          <w:p w14:paraId="791914AF" w14:textId="10187611" w:rsidR="002D27BB" w:rsidRPr="001726A1" w:rsidRDefault="002D27BB" w:rsidP="00E023A3">
            <w:pPr>
              <w:jc w:val="center"/>
              <w:rPr>
                <w:rFonts w:cs="Times New Roman"/>
              </w:rPr>
            </w:pPr>
            <w:r w:rsidRPr="001726A1">
              <w:rPr>
                <w:rFonts w:cs="Times New Roman"/>
              </w:rPr>
              <w:t>Kasmet peržiūrėti infrastruktūrą, įskaitant auditorijose esančią įrangą,</w:t>
            </w:r>
          </w:p>
          <w:p w14:paraId="012F24EC" w14:textId="43515461" w:rsidR="00E023A3" w:rsidRPr="002D27BB" w:rsidRDefault="002D27BB" w:rsidP="002D27BB">
            <w:pPr>
              <w:jc w:val="center"/>
              <w:rPr>
                <w:rFonts w:cs="Times New Roman"/>
                <w:color w:val="1F3864" w:themeColor="accent5" w:themeShade="80"/>
              </w:rPr>
            </w:pPr>
            <w:r w:rsidRPr="001726A1">
              <w:rPr>
                <w:rFonts w:cs="Times New Roman"/>
              </w:rPr>
              <w:t xml:space="preserve">bibliotekos išteklius, programinę įrangą ir ją atnaujinti. </w:t>
            </w:r>
          </w:p>
        </w:tc>
        <w:tc>
          <w:tcPr>
            <w:tcW w:w="682" w:type="pct"/>
          </w:tcPr>
          <w:p w14:paraId="08A81388" w14:textId="35289252" w:rsidR="00E023A3" w:rsidRPr="002D27BB" w:rsidRDefault="001726A1" w:rsidP="001726A1">
            <w:pPr>
              <w:jc w:val="center"/>
              <w:rPr>
                <w:rFonts w:cs="Times New Roman"/>
                <w:lang w:val="en-GB"/>
              </w:rPr>
            </w:pPr>
            <w:r>
              <w:rPr>
                <w:rFonts w:cs="Times New Roman"/>
              </w:rPr>
              <w:t>Kasmet i</w:t>
            </w:r>
            <w:r w:rsidR="002D27BB">
              <w:rPr>
                <w:rFonts w:cs="Times New Roman"/>
              </w:rPr>
              <w:t xml:space="preserve">ki gegužės </w:t>
            </w:r>
            <w:r w:rsidR="002D27BB">
              <w:rPr>
                <w:rFonts w:cs="Times New Roman"/>
                <w:lang w:val="en-GB"/>
              </w:rPr>
              <w:t>30 d.</w:t>
            </w:r>
          </w:p>
        </w:tc>
        <w:tc>
          <w:tcPr>
            <w:tcW w:w="778" w:type="pct"/>
          </w:tcPr>
          <w:p w14:paraId="3301F8D0" w14:textId="524B4768" w:rsidR="00E023A3" w:rsidRPr="000F069E" w:rsidRDefault="002D27BB" w:rsidP="00E023A3">
            <w:pPr>
              <w:jc w:val="center"/>
              <w:rPr>
                <w:rFonts w:cs="Times New Roman"/>
              </w:rPr>
            </w:pPr>
            <w:r>
              <w:rPr>
                <w:rFonts w:cs="Times New Roman"/>
              </w:rPr>
              <w:t>IT, biblioteka, dekanas, studentų atstovybė</w:t>
            </w:r>
          </w:p>
        </w:tc>
        <w:tc>
          <w:tcPr>
            <w:tcW w:w="767" w:type="pct"/>
          </w:tcPr>
          <w:p w14:paraId="6DB30F93" w14:textId="77777777" w:rsidR="00E023A3" w:rsidRPr="000F069E" w:rsidRDefault="00E023A3" w:rsidP="00E023A3">
            <w:pPr>
              <w:jc w:val="center"/>
              <w:rPr>
                <w:rFonts w:cs="Times New Roman"/>
              </w:rPr>
            </w:pPr>
          </w:p>
        </w:tc>
      </w:tr>
      <w:tr w:rsidR="00E023A3" w:rsidRPr="000F069E" w14:paraId="05FE4ADF" w14:textId="77777777" w:rsidTr="002E18B9">
        <w:tc>
          <w:tcPr>
            <w:tcW w:w="5000" w:type="pct"/>
            <w:gridSpan w:val="6"/>
          </w:tcPr>
          <w:p w14:paraId="0CA73739" w14:textId="0577E687" w:rsidR="00E023A3" w:rsidRPr="000F069E" w:rsidRDefault="00E023A3" w:rsidP="00E023A3">
            <w:pPr>
              <w:jc w:val="center"/>
              <w:rPr>
                <w:rFonts w:cs="Times New Roman"/>
              </w:rPr>
            </w:pPr>
            <w:r w:rsidRPr="00FB386B">
              <w:rPr>
                <w:rFonts w:cs="Times New Roman"/>
                <w:b/>
                <w:bCs/>
              </w:rPr>
              <w:t>Studijų kokybės valdymas ir viešinimas</w:t>
            </w:r>
          </w:p>
        </w:tc>
      </w:tr>
      <w:tr w:rsidR="00E023A3" w:rsidRPr="000F069E" w14:paraId="11DDA76B" w14:textId="77777777" w:rsidTr="00CD4EB0">
        <w:tc>
          <w:tcPr>
            <w:tcW w:w="388" w:type="pct"/>
          </w:tcPr>
          <w:p w14:paraId="28BFB5C7" w14:textId="16383515" w:rsidR="00E023A3" w:rsidRPr="002E18B9" w:rsidRDefault="00E023A3" w:rsidP="00E023A3">
            <w:pPr>
              <w:jc w:val="center"/>
              <w:rPr>
                <w:rFonts w:cs="Times New Roman"/>
                <w:lang w:val="en-GB"/>
              </w:rPr>
            </w:pPr>
            <w:r>
              <w:rPr>
                <w:rFonts w:cs="Times New Roman"/>
                <w:lang w:val="en-GB"/>
              </w:rPr>
              <w:t>1.</w:t>
            </w:r>
          </w:p>
        </w:tc>
        <w:tc>
          <w:tcPr>
            <w:tcW w:w="1203" w:type="pct"/>
          </w:tcPr>
          <w:p w14:paraId="5DAD5F92" w14:textId="697FDD06" w:rsidR="00E023A3" w:rsidRPr="000F069E" w:rsidRDefault="00E023A3" w:rsidP="00E023A3">
            <w:pPr>
              <w:rPr>
                <w:rFonts w:cs="Times New Roman"/>
              </w:rPr>
            </w:pPr>
            <w:r w:rsidRPr="00FB386B">
              <w:rPr>
                <w:rFonts w:cs="Times New Roman"/>
              </w:rPr>
              <w:t>Apsvarstyti naujoviškus ir alternatyvius studentų apklausų metodus, kad būtų įveiktas akivaizdus studentų ir kitų socialinių dalininkų nuovargis nuo apklausų.</w:t>
            </w:r>
          </w:p>
        </w:tc>
        <w:tc>
          <w:tcPr>
            <w:tcW w:w="1182" w:type="pct"/>
          </w:tcPr>
          <w:p w14:paraId="5F383A6E" w14:textId="07ED2FCC" w:rsidR="00E023A3" w:rsidRPr="000F069E" w:rsidRDefault="0066750E" w:rsidP="00E023A3">
            <w:pPr>
              <w:jc w:val="center"/>
              <w:rPr>
                <w:rFonts w:cs="Times New Roman"/>
              </w:rPr>
            </w:pPr>
            <w:r w:rsidRPr="006D403E">
              <w:rPr>
                <w:rFonts w:cs="Times New Roman"/>
              </w:rPr>
              <w:t>Teikti USK pasiūlymus dėl studentų apklausų organizavimo tvarkos ir priemonių.</w:t>
            </w:r>
          </w:p>
        </w:tc>
        <w:tc>
          <w:tcPr>
            <w:tcW w:w="682" w:type="pct"/>
          </w:tcPr>
          <w:p w14:paraId="0B26785D" w14:textId="714DFE89" w:rsidR="00E023A3" w:rsidRPr="006D403E" w:rsidRDefault="0066750E" w:rsidP="00E023A3">
            <w:pPr>
              <w:jc w:val="center"/>
              <w:rPr>
                <w:rFonts w:cs="Times New Roman"/>
              </w:rPr>
            </w:pPr>
            <w:r w:rsidRPr="006D403E">
              <w:rPr>
                <w:rFonts w:cs="Times New Roman"/>
              </w:rPr>
              <w:t xml:space="preserve">Iki 2023 m. gruodžio 23 d. </w:t>
            </w:r>
          </w:p>
        </w:tc>
        <w:tc>
          <w:tcPr>
            <w:tcW w:w="778" w:type="pct"/>
          </w:tcPr>
          <w:p w14:paraId="5DE43890" w14:textId="6F954484" w:rsidR="00E023A3" w:rsidRPr="000F069E" w:rsidRDefault="0066750E" w:rsidP="00E023A3">
            <w:pPr>
              <w:jc w:val="center"/>
              <w:rPr>
                <w:rFonts w:cs="Times New Roman"/>
              </w:rPr>
            </w:pPr>
            <w:r>
              <w:rPr>
                <w:rFonts w:cs="Times New Roman"/>
              </w:rPr>
              <w:t>Fakulteto SK</w:t>
            </w:r>
            <w:r w:rsidR="006D403E">
              <w:rPr>
                <w:rFonts w:cs="Times New Roman"/>
              </w:rPr>
              <w:t>, Studijų prodekanas</w:t>
            </w:r>
          </w:p>
        </w:tc>
        <w:tc>
          <w:tcPr>
            <w:tcW w:w="767" w:type="pct"/>
          </w:tcPr>
          <w:p w14:paraId="175ACFAC" w14:textId="77777777" w:rsidR="00E023A3" w:rsidRPr="000F069E" w:rsidRDefault="00E023A3" w:rsidP="00E023A3">
            <w:pPr>
              <w:jc w:val="center"/>
              <w:rPr>
                <w:rFonts w:cs="Times New Roman"/>
              </w:rPr>
            </w:pPr>
          </w:p>
        </w:tc>
      </w:tr>
    </w:tbl>
    <w:p w14:paraId="6C173F5D" w14:textId="77777777" w:rsidR="00E03992" w:rsidRPr="000F069E" w:rsidRDefault="00E03992" w:rsidP="00E03992">
      <w:pPr>
        <w:spacing w:after="0" w:line="240" w:lineRule="auto"/>
        <w:jc w:val="center"/>
        <w:rPr>
          <w:rFonts w:cs="Times New Roman"/>
        </w:rPr>
      </w:pPr>
    </w:p>
    <w:p w14:paraId="1CECB8B9" w14:textId="77A97EED" w:rsidR="00C55B1C" w:rsidRDefault="00C55B1C" w:rsidP="001E5F09">
      <w:pPr>
        <w:spacing w:after="0" w:line="240" w:lineRule="auto"/>
        <w:rPr>
          <w:rFonts w:cs="Times New Roman"/>
          <w:szCs w:val="24"/>
        </w:rPr>
      </w:pPr>
    </w:p>
    <w:p w14:paraId="61750EF2" w14:textId="77777777" w:rsidR="00EA159A" w:rsidRDefault="00EA159A" w:rsidP="001E5F09">
      <w:pPr>
        <w:spacing w:after="0" w:line="240" w:lineRule="auto"/>
        <w:rPr>
          <w:rFonts w:cs="Times New Roman"/>
          <w:szCs w:val="24"/>
        </w:rPr>
      </w:pPr>
    </w:p>
    <w:p w14:paraId="778008AC" w14:textId="77777777" w:rsidR="00AC5FB7" w:rsidRDefault="00AC5FB7" w:rsidP="00AC5FB7">
      <w:pPr>
        <w:ind w:firstLine="567"/>
        <w:jc w:val="both"/>
        <w:rPr>
          <w:rFonts w:cs="Times New Roman"/>
          <w:color w:val="44546A"/>
        </w:rPr>
      </w:pPr>
    </w:p>
    <w:sectPr w:rsidR="00AC5FB7" w:rsidSect="00CD4EB0">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28F0" w14:textId="77777777" w:rsidR="007465F1" w:rsidRDefault="007465F1" w:rsidP="003E627D">
      <w:pPr>
        <w:spacing w:after="0" w:line="240" w:lineRule="auto"/>
      </w:pPr>
      <w:r>
        <w:separator/>
      </w:r>
    </w:p>
  </w:endnote>
  <w:endnote w:type="continuationSeparator" w:id="0">
    <w:p w14:paraId="67BA5AB7" w14:textId="77777777" w:rsidR="007465F1" w:rsidRDefault="007465F1"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D78C" w14:textId="77777777" w:rsidR="007465F1" w:rsidRDefault="007465F1" w:rsidP="003E627D">
      <w:pPr>
        <w:spacing w:after="0" w:line="240" w:lineRule="auto"/>
      </w:pPr>
      <w:r>
        <w:separator/>
      </w:r>
    </w:p>
  </w:footnote>
  <w:footnote w:type="continuationSeparator" w:id="0">
    <w:p w14:paraId="21B6F1F4" w14:textId="77777777" w:rsidR="007465F1" w:rsidRDefault="007465F1"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2"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0"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0"/>
  </w:num>
  <w:num w:numId="5">
    <w:abstractNumId w:val="9"/>
  </w:num>
  <w:num w:numId="6">
    <w:abstractNumId w:val="1"/>
  </w:num>
  <w:num w:numId="7">
    <w:abstractNumId w:val="11"/>
  </w:num>
  <w:num w:numId="8">
    <w:abstractNumId w:val="7"/>
  </w:num>
  <w:num w:numId="9">
    <w:abstractNumId w:val="15"/>
  </w:num>
  <w:num w:numId="10">
    <w:abstractNumId w:val="13"/>
  </w:num>
  <w:num w:numId="11">
    <w:abstractNumId w:val="2"/>
  </w:num>
  <w:num w:numId="12">
    <w:abstractNumId w:val="12"/>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89"/>
    <w:rsid w:val="00003D85"/>
    <w:rsid w:val="00004911"/>
    <w:rsid w:val="0000497A"/>
    <w:rsid w:val="00014B07"/>
    <w:rsid w:val="0005760D"/>
    <w:rsid w:val="0006484B"/>
    <w:rsid w:val="0006680B"/>
    <w:rsid w:val="00074EE0"/>
    <w:rsid w:val="00085C71"/>
    <w:rsid w:val="00090B2D"/>
    <w:rsid w:val="000926E4"/>
    <w:rsid w:val="000A0B31"/>
    <w:rsid w:val="000A22C0"/>
    <w:rsid w:val="000A4104"/>
    <w:rsid w:val="000A61CD"/>
    <w:rsid w:val="000B41C6"/>
    <w:rsid w:val="000C758B"/>
    <w:rsid w:val="000C7AAE"/>
    <w:rsid w:val="000D33C4"/>
    <w:rsid w:val="000F069E"/>
    <w:rsid w:val="00100A4F"/>
    <w:rsid w:val="00103781"/>
    <w:rsid w:val="00103C26"/>
    <w:rsid w:val="001069B1"/>
    <w:rsid w:val="00125C6C"/>
    <w:rsid w:val="00130B1A"/>
    <w:rsid w:val="00133CC2"/>
    <w:rsid w:val="001370BB"/>
    <w:rsid w:val="0014474A"/>
    <w:rsid w:val="00146D3C"/>
    <w:rsid w:val="00155D47"/>
    <w:rsid w:val="00163DC3"/>
    <w:rsid w:val="00166EC1"/>
    <w:rsid w:val="00170F38"/>
    <w:rsid w:val="001726A1"/>
    <w:rsid w:val="0017270D"/>
    <w:rsid w:val="00176183"/>
    <w:rsid w:val="001A1347"/>
    <w:rsid w:val="001B0747"/>
    <w:rsid w:val="001B5945"/>
    <w:rsid w:val="001B62A6"/>
    <w:rsid w:val="001C3206"/>
    <w:rsid w:val="001E1F8D"/>
    <w:rsid w:val="001E5F09"/>
    <w:rsid w:val="001E7FAE"/>
    <w:rsid w:val="002078A9"/>
    <w:rsid w:val="00210B09"/>
    <w:rsid w:val="00212DC0"/>
    <w:rsid w:val="002172A2"/>
    <w:rsid w:val="00220732"/>
    <w:rsid w:val="00222F5C"/>
    <w:rsid w:val="00230A38"/>
    <w:rsid w:val="00236558"/>
    <w:rsid w:val="00257B2C"/>
    <w:rsid w:val="00270F68"/>
    <w:rsid w:val="00270FC9"/>
    <w:rsid w:val="002737A5"/>
    <w:rsid w:val="00273A30"/>
    <w:rsid w:val="00275646"/>
    <w:rsid w:val="002837B7"/>
    <w:rsid w:val="002875B6"/>
    <w:rsid w:val="002A06B7"/>
    <w:rsid w:val="002B1C8D"/>
    <w:rsid w:val="002B25FA"/>
    <w:rsid w:val="002B76C2"/>
    <w:rsid w:val="002C2D28"/>
    <w:rsid w:val="002C639A"/>
    <w:rsid w:val="002C7B9E"/>
    <w:rsid w:val="002D11B1"/>
    <w:rsid w:val="002D27BB"/>
    <w:rsid w:val="002D5A5D"/>
    <w:rsid w:val="002E18B9"/>
    <w:rsid w:val="002E3FA0"/>
    <w:rsid w:val="002F4C8A"/>
    <w:rsid w:val="003029F8"/>
    <w:rsid w:val="00314060"/>
    <w:rsid w:val="00327544"/>
    <w:rsid w:val="00333317"/>
    <w:rsid w:val="00367B89"/>
    <w:rsid w:val="0037126E"/>
    <w:rsid w:val="00371FF4"/>
    <w:rsid w:val="0038304D"/>
    <w:rsid w:val="00386E89"/>
    <w:rsid w:val="003935A7"/>
    <w:rsid w:val="003A2F81"/>
    <w:rsid w:val="003B66F9"/>
    <w:rsid w:val="003C2B7B"/>
    <w:rsid w:val="003E627D"/>
    <w:rsid w:val="003F12CC"/>
    <w:rsid w:val="0040435E"/>
    <w:rsid w:val="00405438"/>
    <w:rsid w:val="00430C7F"/>
    <w:rsid w:val="00434C5E"/>
    <w:rsid w:val="004364A6"/>
    <w:rsid w:val="00450E18"/>
    <w:rsid w:val="004565B2"/>
    <w:rsid w:val="004607E3"/>
    <w:rsid w:val="00461EBC"/>
    <w:rsid w:val="00491680"/>
    <w:rsid w:val="00496C58"/>
    <w:rsid w:val="004A4EC4"/>
    <w:rsid w:val="004B0511"/>
    <w:rsid w:val="004B2ACD"/>
    <w:rsid w:val="004B4A6A"/>
    <w:rsid w:val="004C0E82"/>
    <w:rsid w:val="004C1A35"/>
    <w:rsid w:val="004D28E2"/>
    <w:rsid w:val="004D4067"/>
    <w:rsid w:val="004E3889"/>
    <w:rsid w:val="004F17AB"/>
    <w:rsid w:val="00500A56"/>
    <w:rsid w:val="00510F3B"/>
    <w:rsid w:val="00530740"/>
    <w:rsid w:val="005332AC"/>
    <w:rsid w:val="00534790"/>
    <w:rsid w:val="005357A2"/>
    <w:rsid w:val="00541E6E"/>
    <w:rsid w:val="0054479D"/>
    <w:rsid w:val="00561FEB"/>
    <w:rsid w:val="00566968"/>
    <w:rsid w:val="00571919"/>
    <w:rsid w:val="00583123"/>
    <w:rsid w:val="005A2DDF"/>
    <w:rsid w:val="005B74E8"/>
    <w:rsid w:val="005C6E1B"/>
    <w:rsid w:val="005E209F"/>
    <w:rsid w:val="005F737B"/>
    <w:rsid w:val="00600390"/>
    <w:rsid w:val="00602DC0"/>
    <w:rsid w:val="006051A9"/>
    <w:rsid w:val="00621576"/>
    <w:rsid w:val="00625311"/>
    <w:rsid w:val="006331C7"/>
    <w:rsid w:val="0065366A"/>
    <w:rsid w:val="00654A0B"/>
    <w:rsid w:val="00663830"/>
    <w:rsid w:val="00666147"/>
    <w:rsid w:val="0066750E"/>
    <w:rsid w:val="00667E28"/>
    <w:rsid w:val="00676508"/>
    <w:rsid w:val="00686AA6"/>
    <w:rsid w:val="006A1668"/>
    <w:rsid w:val="006A3DAA"/>
    <w:rsid w:val="006B319A"/>
    <w:rsid w:val="006B353E"/>
    <w:rsid w:val="006B3B4E"/>
    <w:rsid w:val="006D403E"/>
    <w:rsid w:val="006E0AD9"/>
    <w:rsid w:val="0071133D"/>
    <w:rsid w:val="00713728"/>
    <w:rsid w:val="007152FA"/>
    <w:rsid w:val="00725CCE"/>
    <w:rsid w:val="007465F1"/>
    <w:rsid w:val="00766C93"/>
    <w:rsid w:val="0077253C"/>
    <w:rsid w:val="00774B6B"/>
    <w:rsid w:val="0077606B"/>
    <w:rsid w:val="00793E21"/>
    <w:rsid w:val="007A7083"/>
    <w:rsid w:val="007B4191"/>
    <w:rsid w:val="007B4500"/>
    <w:rsid w:val="007F49C1"/>
    <w:rsid w:val="007F4BF4"/>
    <w:rsid w:val="00812CC1"/>
    <w:rsid w:val="0081546F"/>
    <w:rsid w:val="00831561"/>
    <w:rsid w:val="00843BC2"/>
    <w:rsid w:val="00843F6B"/>
    <w:rsid w:val="00844F99"/>
    <w:rsid w:val="0086180C"/>
    <w:rsid w:val="0088149D"/>
    <w:rsid w:val="00886134"/>
    <w:rsid w:val="008872D6"/>
    <w:rsid w:val="008878E2"/>
    <w:rsid w:val="008879E9"/>
    <w:rsid w:val="008A3435"/>
    <w:rsid w:val="008A7984"/>
    <w:rsid w:val="008A7B57"/>
    <w:rsid w:val="008C1361"/>
    <w:rsid w:val="008C2633"/>
    <w:rsid w:val="008D2237"/>
    <w:rsid w:val="008E52F0"/>
    <w:rsid w:val="008E7792"/>
    <w:rsid w:val="008F5E1E"/>
    <w:rsid w:val="00912688"/>
    <w:rsid w:val="0091332D"/>
    <w:rsid w:val="00914CC4"/>
    <w:rsid w:val="00930A62"/>
    <w:rsid w:val="009340CB"/>
    <w:rsid w:val="00940A0D"/>
    <w:rsid w:val="009461D4"/>
    <w:rsid w:val="0094719D"/>
    <w:rsid w:val="009600ED"/>
    <w:rsid w:val="009663DD"/>
    <w:rsid w:val="00976D22"/>
    <w:rsid w:val="00980CFC"/>
    <w:rsid w:val="00984D2F"/>
    <w:rsid w:val="0099245C"/>
    <w:rsid w:val="009A2A1A"/>
    <w:rsid w:val="009A2D50"/>
    <w:rsid w:val="009B1A98"/>
    <w:rsid w:val="009D4F0E"/>
    <w:rsid w:val="009D4F20"/>
    <w:rsid w:val="009E5238"/>
    <w:rsid w:val="009E54F6"/>
    <w:rsid w:val="009F0CAB"/>
    <w:rsid w:val="00A02DB5"/>
    <w:rsid w:val="00A030CD"/>
    <w:rsid w:val="00A0468C"/>
    <w:rsid w:val="00A23D05"/>
    <w:rsid w:val="00A27245"/>
    <w:rsid w:val="00A27865"/>
    <w:rsid w:val="00A366C8"/>
    <w:rsid w:val="00A40CCF"/>
    <w:rsid w:val="00A41750"/>
    <w:rsid w:val="00A52714"/>
    <w:rsid w:val="00A54E9A"/>
    <w:rsid w:val="00A65DD4"/>
    <w:rsid w:val="00A74B88"/>
    <w:rsid w:val="00A81AB6"/>
    <w:rsid w:val="00A973D0"/>
    <w:rsid w:val="00AB2629"/>
    <w:rsid w:val="00AC54FC"/>
    <w:rsid w:val="00AC5FB7"/>
    <w:rsid w:val="00AD5509"/>
    <w:rsid w:val="00AF1C21"/>
    <w:rsid w:val="00B20B6C"/>
    <w:rsid w:val="00B2294C"/>
    <w:rsid w:val="00B23647"/>
    <w:rsid w:val="00B25A93"/>
    <w:rsid w:val="00B51200"/>
    <w:rsid w:val="00B64CE8"/>
    <w:rsid w:val="00B67C8C"/>
    <w:rsid w:val="00B74258"/>
    <w:rsid w:val="00B76318"/>
    <w:rsid w:val="00B95C2F"/>
    <w:rsid w:val="00BA4479"/>
    <w:rsid w:val="00BA5554"/>
    <w:rsid w:val="00BB1ADF"/>
    <w:rsid w:val="00BC62D1"/>
    <w:rsid w:val="00BE0688"/>
    <w:rsid w:val="00C017F9"/>
    <w:rsid w:val="00C16B71"/>
    <w:rsid w:val="00C55B1C"/>
    <w:rsid w:val="00C83127"/>
    <w:rsid w:val="00C84B9F"/>
    <w:rsid w:val="00C863C6"/>
    <w:rsid w:val="00CC3936"/>
    <w:rsid w:val="00CD0365"/>
    <w:rsid w:val="00CD4EB0"/>
    <w:rsid w:val="00CD6771"/>
    <w:rsid w:val="00CE41B5"/>
    <w:rsid w:val="00CE53C1"/>
    <w:rsid w:val="00CE5E91"/>
    <w:rsid w:val="00CF0513"/>
    <w:rsid w:val="00D00B85"/>
    <w:rsid w:val="00D1291B"/>
    <w:rsid w:val="00D15B64"/>
    <w:rsid w:val="00D23FCA"/>
    <w:rsid w:val="00D24B0C"/>
    <w:rsid w:val="00D339F0"/>
    <w:rsid w:val="00D35272"/>
    <w:rsid w:val="00D37D16"/>
    <w:rsid w:val="00D51B49"/>
    <w:rsid w:val="00D756C7"/>
    <w:rsid w:val="00D8138F"/>
    <w:rsid w:val="00D83CD8"/>
    <w:rsid w:val="00D9157C"/>
    <w:rsid w:val="00D94762"/>
    <w:rsid w:val="00D97C96"/>
    <w:rsid w:val="00DA301C"/>
    <w:rsid w:val="00DB08A3"/>
    <w:rsid w:val="00DC1350"/>
    <w:rsid w:val="00DC1892"/>
    <w:rsid w:val="00DE0FDD"/>
    <w:rsid w:val="00DF51C9"/>
    <w:rsid w:val="00DF58F9"/>
    <w:rsid w:val="00E023A3"/>
    <w:rsid w:val="00E03992"/>
    <w:rsid w:val="00E11D1B"/>
    <w:rsid w:val="00E1290C"/>
    <w:rsid w:val="00E13058"/>
    <w:rsid w:val="00E13DD9"/>
    <w:rsid w:val="00E206CF"/>
    <w:rsid w:val="00E26759"/>
    <w:rsid w:val="00E26B84"/>
    <w:rsid w:val="00E41A05"/>
    <w:rsid w:val="00E555F0"/>
    <w:rsid w:val="00E76054"/>
    <w:rsid w:val="00E829E9"/>
    <w:rsid w:val="00E908D9"/>
    <w:rsid w:val="00E93489"/>
    <w:rsid w:val="00EA159A"/>
    <w:rsid w:val="00EC02C6"/>
    <w:rsid w:val="00EC7BCD"/>
    <w:rsid w:val="00ED7117"/>
    <w:rsid w:val="00EE1E9F"/>
    <w:rsid w:val="00EF033D"/>
    <w:rsid w:val="00EF0374"/>
    <w:rsid w:val="00EF5F1A"/>
    <w:rsid w:val="00F1327E"/>
    <w:rsid w:val="00F25B6E"/>
    <w:rsid w:val="00F37EF0"/>
    <w:rsid w:val="00F548A4"/>
    <w:rsid w:val="00F561C9"/>
    <w:rsid w:val="00F729C5"/>
    <w:rsid w:val="00F85937"/>
    <w:rsid w:val="00F875EC"/>
    <w:rsid w:val="00F877E3"/>
    <w:rsid w:val="00FA4DE5"/>
    <w:rsid w:val="00FD1D20"/>
    <w:rsid w:val="00FE5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CD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iPriority w:val="99"/>
    <w:semiHidden/>
    <w:unhideWhenUsed/>
    <w:rsid w:val="00D94762"/>
    <w:pPr>
      <w:spacing w:line="240" w:lineRule="auto"/>
    </w:pPr>
    <w:rPr>
      <w:sz w:val="20"/>
      <w:szCs w:val="20"/>
    </w:rPr>
  </w:style>
  <w:style w:type="character" w:customStyle="1" w:styleId="CommentTextChar">
    <w:name w:val="Comment Text Char"/>
    <w:basedOn w:val="DefaultParagraphFont"/>
    <w:link w:val="CommentText"/>
    <w:uiPriority w:val="99"/>
    <w:semiHidden/>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2105227960">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774936C3CCDDA4B90F32FD264DF871B" ma:contentTypeVersion="9" ma:contentTypeDescription="Kurkite naują dokumentą." ma:contentTypeScope="" ma:versionID="6ab5888d50303c7f51de1a466d615e21">
  <xsd:schema xmlns:xsd="http://www.w3.org/2001/XMLSchema" xmlns:xs="http://www.w3.org/2001/XMLSchema" xmlns:p="http://schemas.microsoft.com/office/2006/metadata/properties" xmlns:ns3="4dc3922d-b90b-458a-a4ae-eafc97b89a39" targetNamespace="http://schemas.microsoft.com/office/2006/metadata/properties" ma:root="true" ma:fieldsID="376e6b554c904911c1b6ef355429f7ec" ns3:_="">
    <xsd:import namespace="4dc3922d-b90b-458a-a4ae-eafc97b89a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3922d-b90b-458a-a4ae-eafc97b89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70D6-C7EE-4A70-A9D5-FCB001AD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3922d-b90b-458a-a4ae-eafc97b89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670D7-ACF8-4D6A-9434-608D586173B5}">
  <ds:schemaRefs>
    <ds:schemaRef ds:uri="http://schemas.microsoft.com/sharepoint/v3/contenttype/forms"/>
  </ds:schemaRefs>
</ds:datastoreItem>
</file>

<file path=customXml/itemProps3.xml><?xml version="1.0" encoding="utf-8"?>
<ds:datastoreItem xmlns:ds="http://schemas.openxmlformats.org/officeDocument/2006/customXml" ds:itemID="{0E6A42B2-253E-436F-B370-DC456ADF6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7475-E20E-463E-B4CA-61AB33B5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1207</Words>
  <Characters>6883</Characters>
  <Application>Microsoft Office Word</Application>
  <DocSecurity>0</DocSecurity>
  <Lines>57</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Giedrutė Mikaločienė</cp:lastModifiedBy>
  <cp:revision>33</cp:revision>
  <dcterms:created xsi:type="dcterms:W3CDTF">2023-05-17T11:06:00Z</dcterms:created>
  <dcterms:modified xsi:type="dcterms:W3CDTF">2023-05-23T12:26:00Z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0x0101004774936C3CCDDA4B90F32FD264DF871B</vt:lpwstr>
  </property>
</Properties>
</file>